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31680" w:firstLineChars="441"/>
        <w:jc w:val="center"/>
        <w:textAlignment w:val="auto"/>
        <w:rPr>
          <w:rFonts w:hint="eastAsia" w:ascii="黑体" w:hAnsi="黑体" w:eastAsia="黑体" w:cs="黑体"/>
          <w:b/>
          <w:color w:val="333333"/>
          <w:sz w:val="40"/>
          <w:szCs w:val="40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/>
          <w:color w:val="333333"/>
          <w:sz w:val="40"/>
          <w:szCs w:val="40"/>
          <w:shd w:val="clear" w:color="auto" w:fill="FFFFFF"/>
          <w:lang w:eastAsia="zh-CN"/>
        </w:rPr>
        <w:t>导游服务技能竞赛规程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b/>
          <w:color w:val="333333"/>
          <w:sz w:val="28"/>
          <w:szCs w:val="28"/>
        </w:rPr>
      </w:pP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</w:rPr>
        <w:t>一、赛项名称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导游服务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技能竞赛。</w:t>
      </w:r>
      <w:r>
        <w:rPr>
          <w:rFonts w:hint="eastAsia" w:asciiTheme="majorEastAsia" w:hAnsiTheme="majorEastAsia" w:eastAsiaTheme="majorEastAsia" w:cstheme="majorEastAsia"/>
          <w:b/>
          <w:color w:val="333333"/>
          <w:sz w:val="24"/>
          <w:szCs w:val="24"/>
        </w:rPr>
        <w:br w:type="textWrapping"/>
      </w: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</w:rPr>
        <w:t>二、参赛对象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480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旅游管理专业学生。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b/>
          <w:color w:val="333333"/>
          <w:sz w:val="28"/>
          <w:szCs w:val="28"/>
        </w:rPr>
      </w:pP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</w:rPr>
        <w:t>三、竞赛时间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480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2017年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月2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>6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日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>竞赛具体时间及地点另行公布）。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b/>
          <w:color w:val="333333"/>
          <w:sz w:val="28"/>
          <w:szCs w:val="28"/>
        </w:rPr>
      </w:pP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</w:rPr>
        <w:t>四、竞赛内容</w:t>
      </w: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  <w:lang w:eastAsia="zh-CN"/>
        </w:rPr>
        <w:t>及说明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shd w:val="clear" w:color="auto" w:fill="FFFFFF"/>
          <w:lang w:val="en-US" w:eastAsia="zh-CN"/>
        </w:rPr>
        <w:t>该赛项由景点讲解、才艺展示两个部分组成，每一部分满分均为100分。最后以景点讲解成绩的70%，才艺展示成绩的30%折算选手总得分。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Theme="majorEastAsia" w:hAnsiTheme="majorEastAsia" w:eastAsiaTheme="majorEastAsia" w:cstheme="majorEastAsia"/>
          <w:b/>
          <w:color w:val="333333"/>
          <w:sz w:val="24"/>
          <w:szCs w:val="2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  <w:lang w:eastAsia="zh-CN"/>
        </w:rPr>
        <w:t>（一）景点</w:t>
      </w: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</w:rPr>
        <w:t>讲解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481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主要考察选手的导游讲解能力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；选题范围是甘肃省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>4A（含4A）以上景点景区。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选手在赛前根据选题范围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自创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一段导游词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（可使用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相应的PPT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作为辅助展示，但只容许出现相关图片，不得出现讲解文字或背景音乐，违例选手由评委组酌情扣分）。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481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每位选手讲解时间为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>4-5分钟，超过或不足均扣分。扣分以10秒为单位（不足10秒按10秒计算），每不足或超出10秒扣1分，以此类推。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 xml:space="preserve"> （二）才艺展示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主要考察选手歌舞或戏曲、乐器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（不得携带不符合日常导游带团工作的大型道具）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、相声、小品、口技、朗诵、魔术、武术和故事讲述等才艺能力。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481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选手根据范围选择才艺形式，独立完成表演，不允许助演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eastAsia="zh-CN"/>
        </w:rPr>
        <w:t>。才艺展示时间为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>3-4分钟，超过或不足均扣分。扣分以10秒为单位（不足10秒按10秒计算），每不足或超出10秒扣1分，以此类推。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b/>
          <w:color w:val="333333"/>
          <w:sz w:val="28"/>
          <w:szCs w:val="28"/>
        </w:rPr>
      </w:pP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  <w:lang w:eastAsia="zh-CN"/>
        </w:rPr>
        <w:t>五</w:t>
      </w: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</w:rPr>
        <w:t>、竞赛</w:t>
      </w: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  <w:lang w:eastAsia="zh-CN"/>
        </w:rPr>
        <w:t>原则及方法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0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>1.评判原则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0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>坚持公平、公开、公正的原则；由现代服务系监督竞赛的全过程。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0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>评判方法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  <w:lang w:val="en-US" w:eastAsia="zh-CN"/>
        </w:rPr>
        <w:t xml:space="preserve">   在景点讲解与与才艺展示环节，每位选手比赛结束后，由评委各自评判打分并签字确认，平均各位裁判的评分为每位选手的最终得分，分数保留小数点。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/>
          <w:bCs w:val="0"/>
          <w:color w:val="333333"/>
          <w:sz w:val="28"/>
          <w:szCs w:val="28"/>
          <w:shd w:val="clear" w:color="auto" w:fill="FFFFFF"/>
          <w:lang w:eastAsia="zh-CN"/>
        </w:rPr>
        <w:t>六、其他事项说</w:t>
      </w:r>
      <w:r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  <w:lang w:eastAsia="zh-CN"/>
        </w:rPr>
        <w:t>明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color w:val="333333"/>
          <w:sz w:val="24"/>
          <w:szCs w:val="24"/>
          <w:shd w:val="clear" w:color="auto" w:fill="FFFFFF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 w:val="0"/>
          <w:bCs/>
          <w:color w:val="333333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 w:val="0"/>
          <w:bCs/>
          <w:color w:val="333333"/>
          <w:sz w:val="24"/>
          <w:szCs w:val="24"/>
          <w:shd w:val="clear" w:color="auto" w:fill="FFFFFF"/>
        </w:rPr>
        <w:t>1.参赛选</w:t>
      </w:r>
      <w:r>
        <w:rPr>
          <w:rFonts w:hint="eastAsia" w:asciiTheme="majorEastAsia" w:hAnsiTheme="majorEastAsia" w:eastAsiaTheme="majorEastAsia" w:cstheme="majorEastAsia"/>
          <w:color w:val="333333"/>
          <w:sz w:val="24"/>
          <w:szCs w:val="24"/>
          <w:shd w:val="clear" w:color="auto" w:fill="FFFFFF"/>
        </w:rPr>
        <w:t>手按规定时间到达指定地点进行检录后进入竞赛候场区，并携带参赛用具。选手迟到20分钟取消比赛资格。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shd w:val="clear" w:color="auto" w:fill="FFFFFF"/>
          <w:lang w:val="en-US" w:eastAsia="zh-CN"/>
        </w:rPr>
        <w:t>景点讲解展示所需的PPT和才艺展示用伴奏音乐请自行备份。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shd w:val="clear" w:color="auto" w:fill="FFFFFF"/>
          <w:lang w:val="en-US" w:eastAsia="zh-CN"/>
        </w:rPr>
        <w:t>按总分高低，设一等奖1名，二等奖2名，三等奖3名。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28"/>
          <w:szCs w:val="28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28"/>
          <w:szCs w:val="28"/>
          <w:shd w:val="clear" w:color="auto" w:fill="FFFFFF"/>
          <w:lang w:eastAsia="zh-CN"/>
        </w:rPr>
        <w:t>评分标准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333333"/>
          <w:sz w:val="24"/>
          <w:szCs w:val="24"/>
          <w:shd w:val="clear" w:color="auto" w:fill="FFFFFF"/>
          <w:lang w:val="en-US" w:eastAsia="zh-CN"/>
        </w:rPr>
        <w:t xml:space="preserve">    见附表1、2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b/>
          <w:bCs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八、竞赛联系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2"/>
        <w:textAlignment w:val="auto"/>
        <w:rPr>
          <w:rFonts w:hint="eastAsia" w:asciiTheme="majorEastAsia" w:hAnsiTheme="majorEastAsia" w:eastAsiaTheme="majorEastAsia" w:cstheme="majorEastAsia"/>
          <w:b w:val="0"/>
          <w:bCs/>
          <w:color w:val="333333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333333"/>
          <w:sz w:val="24"/>
          <w:szCs w:val="24"/>
          <w:shd w:val="clear" w:color="auto" w:fill="FFFFFF"/>
          <w:lang w:val="en-US" w:eastAsia="zh-CN"/>
        </w:rPr>
        <w:t>联系人： 康明福  15193103484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rPr>
          <w:rFonts w:hint="eastAsia" w:asciiTheme="majorEastAsia" w:hAnsiTheme="majorEastAsia" w:eastAsiaTheme="majorEastAsia" w:cstheme="majorEastAsia"/>
          <w:bCs/>
          <w:color w:val="3333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</w:p>
    <w:p>
      <w:pPr>
        <w:jc w:val="left"/>
        <w:rPr>
          <w:rFonts w:hint="eastAsia" w:ascii="黑体" w:eastAsia="黑体" w:cs="黑体"/>
          <w:b/>
          <w:bCs/>
          <w:sz w:val="20"/>
          <w:szCs w:val="20"/>
          <w:lang w:eastAsia="zh-CN"/>
        </w:rPr>
      </w:pPr>
      <w:r>
        <w:rPr>
          <w:rFonts w:hint="eastAsia" w:ascii="黑体" w:eastAsia="黑体" w:cs="黑体"/>
          <w:b/>
          <w:bCs/>
          <w:sz w:val="20"/>
          <w:szCs w:val="20"/>
          <w:lang w:eastAsia="zh-CN"/>
        </w:rPr>
        <w:t>附表</w:t>
      </w:r>
      <w:r>
        <w:rPr>
          <w:rFonts w:hint="eastAsia" w:ascii="黑体" w:eastAsia="黑体" w:cs="黑体"/>
          <w:b/>
          <w:bCs/>
          <w:sz w:val="20"/>
          <w:szCs w:val="20"/>
          <w:lang w:val="en-US" w:eastAsia="zh-CN"/>
        </w:rPr>
        <w:t>1</w:t>
      </w:r>
    </w:p>
    <w:p>
      <w:pPr>
        <w:jc w:val="center"/>
        <w:rPr>
          <w:rFonts w:ascii="黑体" w:eastAsia="黑体" w:cs="Times New Roman"/>
          <w:b/>
          <w:bCs/>
          <w:sz w:val="24"/>
          <w:szCs w:val="24"/>
        </w:rPr>
      </w:pPr>
      <w:r>
        <w:rPr>
          <w:rFonts w:hint="eastAsia" w:ascii="黑体" w:eastAsia="黑体" w:cs="黑体"/>
          <w:b/>
          <w:bCs/>
          <w:sz w:val="24"/>
          <w:szCs w:val="24"/>
        </w:rPr>
        <w:t>景点讲解评分标准表</w:t>
      </w:r>
    </w:p>
    <w:p>
      <w:pPr>
        <w:spacing w:line="440" w:lineRule="exact"/>
        <w:rPr>
          <w:rFonts w:cs="Times New Roman"/>
          <w:b/>
          <w:bCs/>
          <w:sz w:val="20"/>
          <w:szCs w:val="20"/>
        </w:rPr>
      </w:pPr>
      <w:r>
        <w:rPr>
          <w:rFonts w:hint="eastAsia" w:ascii="黑体" w:eastAsia="黑体" w:cs="黑体"/>
          <w:b/>
          <w:bCs/>
          <w:sz w:val="20"/>
          <w:szCs w:val="20"/>
          <w:lang w:eastAsia="zh-CN"/>
        </w:rPr>
        <w:t>姓名</w:t>
      </w:r>
      <w:r>
        <w:rPr>
          <w:rFonts w:ascii="黑体" w:eastAsia="黑体" w:cs="黑体"/>
          <w:b/>
          <w:bCs/>
          <w:sz w:val="20"/>
          <w:szCs w:val="20"/>
          <w:u w:val="single"/>
        </w:rPr>
        <w:t xml:space="preserve">         </w:t>
      </w:r>
    </w:p>
    <w:tbl>
      <w:tblPr>
        <w:tblStyle w:val="8"/>
        <w:tblW w:w="853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40"/>
        <w:gridCol w:w="6422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项</w:t>
            </w: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目</w:t>
            </w:r>
          </w:p>
        </w:tc>
        <w:tc>
          <w:tcPr>
            <w:tcW w:w="696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评分要求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仪容仪表</w:t>
            </w:r>
          </w:p>
        </w:tc>
        <w:tc>
          <w:tcPr>
            <w:tcW w:w="6962" w:type="dxa"/>
            <w:gridSpan w:val="2"/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要求服装穿着得体，饰品佩带恰当，发型和化妆要自然、仪容端庄、精神、亲切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，符合导游人员礼仪礼貌规范。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导</w:t>
            </w: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游</w:t>
            </w: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讲</w:t>
            </w: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解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讲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解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内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容</w:t>
            </w:r>
          </w:p>
        </w:tc>
        <w:tc>
          <w:tcPr>
            <w:tcW w:w="6422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⑴语言文字要能够体现导游语言的通俗化、口语化特点，能体现景点的文化内涵，并能从审美的角度引导游客欣赏。（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⑵结构严谨、内容准确、角度新颖、重点突出，主次分明。（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⑶构思独特，特色鲜明，并能够巧妙的应用各种语言技巧。（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⑷语言形象，自然流畅，贴近游客，有情感，能给人以美感。（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讲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解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技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能</w:t>
            </w:r>
          </w:p>
        </w:tc>
        <w:tc>
          <w:tcPr>
            <w:tcW w:w="6422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⑴景点知识掌握程度（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讲解的景点知识完整、正确、切题，重点突出，层次分明，思路清晰，逻辑性强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能做到点面结合，讲解时能穿插相关知识。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⑵语言技能一（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普通话标准、流利，吐字清晰，语调优美，语速适中。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⑶语言技能二（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语法与用词确切、达意，语言生动、形象、幽默，做到艺术性与趣味性相结合，并能做到与神态表情、手势的自然配合，能引起共鸣。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⑷导游方法的运用技巧（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讲究导游讲解的方法多样，方式新颖，有创意，灵活应用各种讲解技巧，能调动游客的积极性。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０分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720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言行举止</w:t>
            </w:r>
          </w:p>
        </w:tc>
        <w:tc>
          <w:tcPr>
            <w:tcW w:w="6962" w:type="dxa"/>
            <w:gridSpan w:val="2"/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礼貌用语恰当，态度真诚友好，表情生动丰富，手势及其它身体语言应用适当与适度。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选手得分</w:t>
            </w:r>
          </w:p>
        </w:tc>
        <w:tc>
          <w:tcPr>
            <w:tcW w:w="7817" w:type="dxa"/>
            <w:gridSpan w:val="3"/>
            <w:vAlign w:val="center"/>
          </w:tcPr>
          <w:p>
            <w:pPr>
              <w:spacing w:line="360" w:lineRule="auto"/>
              <w:ind w:right="1083"/>
              <w:jc w:val="both"/>
              <w:rPr>
                <w:rFonts w:hint="eastAsia" w:ascii="黑体" w:eastAsia="黑体" w:cs="黑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黑体" w:eastAsia="黑体" w:cs="黑体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黑体" w:eastAsia="黑体" w:cs="黑体"/>
                <w:b/>
                <w:bCs/>
                <w:sz w:val="20"/>
                <w:szCs w:val="20"/>
                <w:lang w:val="en-US" w:eastAsia="zh-CN"/>
              </w:rPr>
              <w:t xml:space="preserve">                      </w:t>
            </w:r>
          </w:p>
          <w:p>
            <w:pPr>
              <w:spacing w:line="360" w:lineRule="auto"/>
              <w:ind w:right="1083"/>
              <w:jc w:val="both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黑体" w:eastAsia="黑体" w:cs="黑体"/>
                <w:b/>
                <w:bCs/>
                <w:sz w:val="20"/>
                <w:szCs w:val="20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黑体" w:eastAsia="黑体" w:cs="黑体"/>
                <w:sz w:val="20"/>
                <w:szCs w:val="20"/>
              </w:rPr>
              <w:t>评委签名</w:t>
            </w:r>
            <w:r>
              <w:rPr>
                <w:rFonts w:hint="eastAsia" w:ascii="黑体" w:eastAsia="黑体" w:cs="黑体"/>
                <w:sz w:val="20"/>
                <w:szCs w:val="20"/>
                <w:lang w:eastAsia="zh-CN"/>
              </w:rPr>
              <w:t>：</w:t>
            </w:r>
          </w:p>
        </w:tc>
      </w:tr>
    </w:tbl>
    <w:p>
      <w:pPr>
        <w:spacing w:line="360" w:lineRule="auto"/>
        <w:jc w:val="center"/>
        <w:rPr>
          <w:rFonts w:ascii="黑体" w:eastAsia="黑体" w:cs="Times New Roman"/>
          <w:b/>
          <w:bCs/>
          <w:sz w:val="20"/>
          <w:szCs w:val="20"/>
        </w:rPr>
      </w:pPr>
      <w:r>
        <w:rPr>
          <w:rFonts w:ascii="黑体" w:eastAsia="黑体" w:cs="黑体"/>
          <w:b/>
          <w:bCs/>
          <w:sz w:val="20"/>
          <w:szCs w:val="20"/>
        </w:rPr>
        <w:t xml:space="preserve">              </w:t>
      </w:r>
    </w:p>
    <w:p>
      <w:pPr>
        <w:spacing w:line="360" w:lineRule="auto"/>
        <w:ind w:firstLine="31680" w:firstLineChars="200"/>
        <w:rPr>
          <w:rFonts w:cs="Times New Roman"/>
          <w:sz w:val="20"/>
          <w:szCs w:val="20"/>
        </w:rPr>
      </w:pPr>
    </w:p>
    <w:p>
      <w:pPr>
        <w:spacing w:line="360" w:lineRule="auto"/>
        <w:ind w:firstLine="31680" w:firstLineChars="200"/>
        <w:rPr>
          <w:rFonts w:cs="Times New Roman"/>
          <w:sz w:val="20"/>
          <w:szCs w:val="20"/>
        </w:rPr>
      </w:pPr>
    </w:p>
    <w:p>
      <w:pPr>
        <w:jc w:val="center"/>
        <w:rPr>
          <w:rFonts w:hint="eastAsia" w:ascii="黑体" w:eastAsia="黑体" w:cs="黑体"/>
          <w:b/>
          <w:bCs/>
          <w:sz w:val="20"/>
          <w:szCs w:val="20"/>
        </w:rPr>
      </w:pPr>
    </w:p>
    <w:p>
      <w:pPr>
        <w:jc w:val="both"/>
        <w:rPr>
          <w:rFonts w:hint="eastAsia" w:ascii="黑体" w:eastAsia="黑体" w:cs="黑体"/>
          <w:b/>
          <w:bCs/>
          <w:sz w:val="20"/>
          <w:szCs w:val="20"/>
          <w:lang w:eastAsia="zh-CN"/>
        </w:rPr>
      </w:pPr>
      <w:r>
        <w:rPr>
          <w:rFonts w:hint="eastAsia" w:ascii="黑体" w:eastAsia="黑体" w:cs="黑体"/>
          <w:b/>
          <w:bCs/>
          <w:sz w:val="20"/>
          <w:szCs w:val="20"/>
          <w:lang w:eastAsia="zh-CN"/>
        </w:rPr>
        <w:t>附表</w:t>
      </w:r>
      <w:r>
        <w:rPr>
          <w:rFonts w:hint="eastAsia" w:ascii="黑体" w:eastAsia="黑体" w:cs="黑体"/>
          <w:b/>
          <w:bCs/>
          <w:sz w:val="20"/>
          <w:szCs w:val="20"/>
          <w:lang w:val="en-US" w:eastAsia="zh-CN"/>
        </w:rPr>
        <w:t>2</w:t>
      </w:r>
    </w:p>
    <w:p>
      <w:pPr>
        <w:jc w:val="center"/>
        <w:rPr>
          <w:rFonts w:ascii="黑体" w:eastAsia="黑体" w:cs="Times New Roman"/>
          <w:b/>
          <w:bCs/>
          <w:sz w:val="24"/>
          <w:szCs w:val="24"/>
        </w:rPr>
      </w:pPr>
      <w:r>
        <w:rPr>
          <w:rFonts w:hint="eastAsia" w:ascii="黑体" w:eastAsia="黑体" w:cs="黑体"/>
          <w:b/>
          <w:bCs/>
          <w:sz w:val="24"/>
          <w:szCs w:val="24"/>
        </w:rPr>
        <w:t>才艺展示评分标准表</w:t>
      </w:r>
    </w:p>
    <w:p>
      <w:pPr>
        <w:spacing w:line="500" w:lineRule="exact"/>
        <w:rPr>
          <w:rFonts w:ascii="仿宋" w:hAnsi="仿宋" w:eastAsia="仿宋" w:cs="Times New Roman"/>
          <w:sz w:val="20"/>
          <w:szCs w:val="20"/>
        </w:rPr>
      </w:pPr>
      <w:r>
        <w:rPr>
          <w:rFonts w:hint="eastAsia" w:ascii="黑体" w:eastAsia="黑体" w:cs="黑体"/>
          <w:b/>
          <w:bCs/>
          <w:sz w:val="20"/>
          <w:szCs w:val="20"/>
          <w:lang w:eastAsia="zh-CN"/>
        </w:rPr>
        <w:t>姓名</w:t>
      </w:r>
      <w:r>
        <w:rPr>
          <w:rFonts w:ascii="黑体" w:eastAsia="黑体" w:cs="黑体"/>
          <w:b/>
          <w:bCs/>
          <w:sz w:val="20"/>
          <w:szCs w:val="20"/>
          <w:u w:val="single"/>
        </w:rPr>
        <w:t xml:space="preserve">         </w:t>
      </w:r>
    </w:p>
    <w:tbl>
      <w:tblPr>
        <w:tblStyle w:val="8"/>
        <w:tblW w:w="8372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6360"/>
        <w:gridCol w:w="8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项目</w:t>
            </w:r>
          </w:p>
        </w:tc>
        <w:tc>
          <w:tcPr>
            <w:tcW w:w="636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评分要求</w:t>
            </w:r>
          </w:p>
        </w:tc>
        <w:tc>
          <w:tcPr>
            <w:tcW w:w="84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72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选题</w:t>
            </w:r>
          </w:p>
        </w:tc>
        <w:tc>
          <w:tcPr>
            <w:tcW w:w="6360" w:type="dxa"/>
            <w:vAlign w:val="center"/>
          </w:tcPr>
          <w:p>
            <w:p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歌舞、戏曲、乐器、相声、小品、口技、朗诵、魔术、武术等；以适合导游日常带团工作为宜。</w:t>
            </w:r>
          </w:p>
        </w:tc>
        <w:tc>
          <w:tcPr>
            <w:tcW w:w="84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1172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内容</w:t>
            </w:r>
          </w:p>
        </w:tc>
        <w:tc>
          <w:tcPr>
            <w:tcW w:w="6360" w:type="dxa"/>
            <w:vAlign w:val="center"/>
          </w:tcPr>
          <w:p>
            <w:pPr>
              <w:numPr>
                <w:ilvl w:val="0"/>
                <w:numId w:val="4"/>
              </w:num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健康</w:t>
            </w:r>
          </w:p>
          <w:p>
            <w:pPr>
              <w:numPr>
                <w:ilvl w:val="0"/>
                <w:numId w:val="4"/>
              </w:num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完整</w:t>
            </w:r>
          </w:p>
          <w:p>
            <w:pPr>
              <w:numPr>
                <w:ilvl w:val="0"/>
                <w:numId w:val="4"/>
              </w:num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紧扣旅游</w:t>
            </w:r>
          </w:p>
          <w:p>
            <w:pPr>
              <w:numPr>
                <w:ilvl w:val="0"/>
                <w:numId w:val="4"/>
              </w:num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与时俱进</w:t>
            </w:r>
          </w:p>
          <w:p>
            <w:pPr>
              <w:numPr>
                <w:ilvl w:val="0"/>
                <w:numId w:val="4"/>
              </w:num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具有一定的文化内涵</w:t>
            </w:r>
          </w:p>
          <w:p>
            <w:pPr>
              <w:numPr>
                <w:ilvl w:val="0"/>
                <w:numId w:val="4"/>
              </w:num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能体现地域特色</w:t>
            </w:r>
          </w:p>
        </w:tc>
        <w:tc>
          <w:tcPr>
            <w:tcW w:w="84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40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1172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技巧</w:t>
            </w:r>
          </w:p>
        </w:tc>
        <w:tc>
          <w:tcPr>
            <w:tcW w:w="6360" w:type="dxa"/>
            <w:vAlign w:val="center"/>
          </w:tcPr>
          <w:p>
            <w:p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</w:t>
            </w:r>
            <w:r>
              <w:rPr>
                <w:rFonts w:ascii="仿宋" w:hAnsi="仿宋" w:eastAsia="仿宋" w:cs="仿宋"/>
                <w:sz w:val="20"/>
                <w:szCs w:val="20"/>
              </w:rPr>
              <w:t>1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）声乐类：气息统一、吐字清晰、声音表现力强；</w:t>
            </w:r>
            <w:r>
              <w:rPr>
                <w:rFonts w:ascii="仿宋" w:hAnsi="仿宋" w:eastAsia="仿宋" w:cs="Times New Roman"/>
                <w:sz w:val="20"/>
                <w:szCs w:val="20"/>
              </w:rPr>
              <w:t>  </w:t>
            </w:r>
          </w:p>
          <w:p>
            <w:p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</w:t>
            </w:r>
            <w:r>
              <w:rPr>
                <w:rFonts w:ascii="仿宋" w:hAnsi="仿宋" w:eastAsia="仿宋" w:cs="仿宋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）器乐类：姿势正确，音准、音色、节奏、技巧较完美，乐感好，能强烈感染人，曲目难度大；</w:t>
            </w:r>
            <w:r>
              <w:rPr>
                <w:rFonts w:ascii="仿宋" w:hAnsi="仿宋" w:eastAsia="仿宋" w:cs="Times New Roman"/>
                <w:sz w:val="20"/>
                <w:szCs w:val="20"/>
              </w:rPr>
              <w:t> </w:t>
            </w:r>
          </w:p>
          <w:p>
            <w:p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</w:t>
            </w:r>
            <w:r>
              <w:rPr>
                <w:rFonts w:ascii="仿宋" w:hAnsi="仿宋" w:eastAsia="仿宋" w:cs="仿宋"/>
                <w:sz w:val="20"/>
                <w:szCs w:val="20"/>
              </w:rPr>
              <w:t>3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）</w:t>
            </w:r>
            <w:r>
              <w:rPr>
                <w:rFonts w:ascii="仿宋" w:hAnsi="仿宋" w:eastAsia="仿宋" w:cs="Times New Roman"/>
                <w:sz w:val="20"/>
                <w:szCs w:val="20"/>
              </w:rPr>
              <w:t> 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舞蹈类：动作协调、技巧娴熟、肢体表现力强；</w:t>
            </w:r>
            <w:r>
              <w:rPr>
                <w:rFonts w:ascii="仿宋" w:hAnsi="仿宋" w:eastAsia="仿宋" w:cs="Times New Roman"/>
                <w:sz w:val="20"/>
                <w:szCs w:val="20"/>
              </w:rPr>
              <w:t> 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语言类：普通话标准，方言到位，表演生动，语言表现力较强；</w:t>
            </w:r>
            <w:r>
              <w:rPr>
                <w:rFonts w:ascii="仿宋" w:hAnsi="仿宋" w:eastAsia="仿宋" w:cs="Times New Roman"/>
                <w:sz w:val="20"/>
                <w:szCs w:val="20"/>
              </w:rPr>
              <w:t>  </w:t>
            </w:r>
          </w:p>
          <w:p>
            <w:p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</w:t>
            </w:r>
            <w:r>
              <w:rPr>
                <w:rFonts w:ascii="仿宋" w:hAnsi="仿宋" w:eastAsia="仿宋" w:cs="仿宋"/>
                <w:sz w:val="20"/>
                <w:szCs w:val="20"/>
              </w:rPr>
              <w:t>4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）其他类：技巧纯熟，观赏性强。（武术、瑜伽、魔术、“绝活”等</w:t>
            </w:r>
            <w:r>
              <w:rPr>
                <w:rFonts w:ascii="仿宋" w:hAnsi="仿宋" w:eastAsia="仿宋" w:cs="Times New Roman"/>
                <w:sz w:val="20"/>
                <w:szCs w:val="20"/>
              </w:rPr>
              <w:t> </w:t>
            </w:r>
          </w:p>
        </w:tc>
        <w:tc>
          <w:tcPr>
            <w:tcW w:w="84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40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72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其他</w:t>
            </w:r>
          </w:p>
        </w:tc>
        <w:tc>
          <w:tcPr>
            <w:tcW w:w="6360" w:type="dxa"/>
            <w:vAlign w:val="center"/>
          </w:tcPr>
          <w:p>
            <w:pPr>
              <w:spacing w:line="240" w:lineRule="auto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表演流畅、现场发挥好，感染力强。</w:t>
            </w:r>
          </w:p>
        </w:tc>
        <w:tc>
          <w:tcPr>
            <w:tcW w:w="84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7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选手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得分</w:t>
            </w:r>
          </w:p>
        </w:tc>
        <w:tc>
          <w:tcPr>
            <w:tcW w:w="720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</w:p>
          <w:p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黑体" w:eastAsia="黑体" w:cs="黑体"/>
                <w:sz w:val="20"/>
                <w:szCs w:val="20"/>
                <w:lang w:val="en-US" w:eastAsia="zh-CN"/>
              </w:rPr>
              <w:t xml:space="preserve">               </w:t>
            </w:r>
            <w:r>
              <w:rPr>
                <w:rFonts w:hint="eastAsia" w:ascii="黑体" w:eastAsia="黑体" w:cs="黑体"/>
                <w:sz w:val="20"/>
                <w:szCs w:val="20"/>
              </w:rPr>
              <w:t>评委签名</w:t>
            </w:r>
            <w:r>
              <w:rPr>
                <w:rFonts w:hint="eastAsia" w:ascii="黑体" w:eastAsia="黑体" w:cs="黑体"/>
                <w:sz w:val="20"/>
                <w:szCs w:val="20"/>
                <w:lang w:eastAsia="zh-CN"/>
              </w:rPr>
              <w:t>：</w:t>
            </w:r>
          </w:p>
        </w:tc>
      </w:tr>
    </w:tbl>
    <w:p>
      <w:pPr>
        <w:spacing w:line="500" w:lineRule="exact"/>
        <w:rPr>
          <w:rFonts w:hint="eastAsia" w:asciiTheme="majorEastAsia" w:hAnsiTheme="majorEastAsia" w:eastAsiaTheme="majorEastAsia" w:cstheme="majorEastAsia"/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ail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宋体-PUA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3BB71"/>
    <w:multiLevelType w:val="singleLevel"/>
    <w:tmpl w:val="58B3BB71"/>
    <w:lvl w:ilvl="0" w:tentative="0">
      <w:start w:val="2"/>
      <w:numFmt w:val="decimal"/>
      <w:suff w:val="nothing"/>
      <w:lvlText w:val="%1."/>
      <w:lvlJc w:val="left"/>
    </w:lvl>
  </w:abstractNum>
  <w:abstractNum w:abstractNumId="1">
    <w:nsid w:val="58B3D2A2"/>
    <w:multiLevelType w:val="singleLevel"/>
    <w:tmpl w:val="58B3D2A2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922563E"/>
    <w:multiLevelType w:val="singleLevel"/>
    <w:tmpl w:val="5922563E"/>
    <w:lvl w:ilvl="0" w:tentative="0">
      <w:start w:val="2"/>
      <w:numFmt w:val="decimal"/>
      <w:suff w:val="nothing"/>
      <w:lvlText w:val="%1."/>
      <w:lvlJc w:val="left"/>
    </w:lvl>
  </w:abstractNum>
  <w:abstractNum w:abstractNumId="3">
    <w:nsid w:val="592257C4"/>
    <w:multiLevelType w:val="singleLevel"/>
    <w:tmpl w:val="592257C4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16F6"/>
    <w:rsid w:val="0012416B"/>
    <w:rsid w:val="00127EB7"/>
    <w:rsid w:val="0015470B"/>
    <w:rsid w:val="001706FE"/>
    <w:rsid w:val="001C0992"/>
    <w:rsid w:val="0021365E"/>
    <w:rsid w:val="002E1D2A"/>
    <w:rsid w:val="0037662A"/>
    <w:rsid w:val="003774EB"/>
    <w:rsid w:val="00425EEB"/>
    <w:rsid w:val="004B0776"/>
    <w:rsid w:val="004E13C6"/>
    <w:rsid w:val="004F287A"/>
    <w:rsid w:val="005A6F20"/>
    <w:rsid w:val="005D5163"/>
    <w:rsid w:val="0067025A"/>
    <w:rsid w:val="006D1059"/>
    <w:rsid w:val="007C0400"/>
    <w:rsid w:val="007C07B4"/>
    <w:rsid w:val="007E0701"/>
    <w:rsid w:val="008958A8"/>
    <w:rsid w:val="00913868"/>
    <w:rsid w:val="009616F6"/>
    <w:rsid w:val="00A209FE"/>
    <w:rsid w:val="00A23446"/>
    <w:rsid w:val="00A66C74"/>
    <w:rsid w:val="00C54CC4"/>
    <w:rsid w:val="00CD34C1"/>
    <w:rsid w:val="00D3694C"/>
    <w:rsid w:val="00E24E37"/>
    <w:rsid w:val="00E96E76"/>
    <w:rsid w:val="00EA1304"/>
    <w:rsid w:val="00FB292F"/>
    <w:rsid w:val="00FB5A29"/>
    <w:rsid w:val="01096D9F"/>
    <w:rsid w:val="01624994"/>
    <w:rsid w:val="01FE0544"/>
    <w:rsid w:val="04156BC7"/>
    <w:rsid w:val="05905727"/>
    <w:rsid w:val="09B44ACE"/>
    <w:rsid w:val="0E1A4A82"/>
    <w:rsid w:val="109E69CC"/>
    <w:rsid w:val="115E16D1"/>
    <w:rsid w:val="11657B76"/>
    <w:rsid w:val="12923413"/>
    <w:rsid w:val="1A4A4DBD"/>
    <w:rsid w:val="1D056477"/>
    <w:rsid w:val="1EA40572"/>
    <w:rsid w:val="235F59F0"/>
    <w:rsid w:val="248C5C44"/>
    <w:rsid w:val="29B53050"/>
    <w:rsid w:val="2DD558C6"/>
    <w:rsid w:val="30A91427"/>
    <w:rsid w:val="37F11891"/>
    <w:rsid w:val="383B03B9"/>
    <w:rsid w:val="3C761350"/>
    <w:rsid w:val="40B60D80"/>
    <w:rsid w:val="46CD32B9"/>
    <w:rsid w:val="4D677E54"/>
    <w:rsid w:val="4D9F1EF0"/>
    <w:rsid w:val="50FC6EC1"/>
    <w:rsid w:val="56B42CED"/>
    <w:rsid w:val="588627D2"/>
    <w:rsid w:val="59250BB5"/>
    <w:rsid w:val="709B74FB"/>
    <w:rsid w:val="70A44817"/>
    <w:rsid w:val="73CC1B48"/>
    <w:rsid w:val="73F571CF"/>
    <w:rsid w:val="777C3290"/>
    <w:rsid w:val="7C50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semiHidden/>
    <w:qFormat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Header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Foot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Balloon Text Char"/>
    <w:basedOn w:val="6"/>
    <w:link w:val="2"/>
    <w:semiHidden/>
    <w:qFormat/>
    <w:uiPriority w:val="99"/>
    <w:rPr>
      <w:sz w:val="0"/>
      <w:szCs w:val="0"/>
    </w:rPr>
  </w:style>
  <w:style w:type="paragraph" w:customStyle="1" w:styleId="13">
    <w:name w:val="p01"/>
    <w:basedOn w:val="1"/>
    <w:qFormat/>
    <w:uiPriority w:val="99"/>
    <w:pPr>
      <w:widowControl/>
      <w:spacing w:line="36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7</Pages>
  <Words>818</Words>
  <Characters>4669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2017-02-26T14:32:00Z</dcterms:created>
  <dc:creator>MacBook</dc:creator>
  <cp:lastModifiedBy>Administrator</cp:lastModifiedBy>
  <cp:lastPrinted>2017-02-26T14:26:00Z</cp:lastPrinted>
  <dcterms:modified xsi:type="dcterms:W3CDTF">2017-05-22T06:51:51Z</dcterms:modified>
  <dc:title>2017年甘肃省兰州职业技术学院普通话导游服务技能大赛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