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tabs>
          <w:tab w:val="left" w:pos="13203"/>
        </w:tabs>
        <w:rPr>
          <w:rFonts w:ascii="仿宋_GB2312" w:eastAsia="仿宋_GB2312" w:cs="Times New Roman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>附件</w:t>
      </w:r>
      <w:r>
        <w:rPr>
          <w:rFonts w:ascii="仿宋_GB2312" w:eastAsia="仿宋_GB2312" w:cs="仿宋_GB2312"/>
          <w:sz w:val="30"/>
          <w:szCs w:val="30"/>
        </w:rPr>
        <w:t>2</w:t>
      </w:r>
      <w:bookmarkStart w:id="0" w:name="_GoBack"/>
      <w:bookmarkEnd w:id="0"/>
      <w:r>
        <w:rPr>
          <w:rFonts w:ascii="仿宋_GB2312" w:eastAsia="仿宋_GB2312" w:cs="Times New Roman"/>
          <w:sz w:val="30"/>
          <w:szCs w:val="30"/>
        </w:rPr>
        <w:tab/>
      </w:r>
    </w:p>
    <w:p>
      <w:pPr>
        <w:jc w:val="center"/>
        <w:rPr>
          <w:rFonts w:ascii="仿宋_GB2312" w:eastAsia="仿宋_GB2312" w:cs="Times New Roman"/>
          <w:sz w:val="30"/>
          <w:szCs w:val="30"/>
        </w:rPr>
      </w:pPr>
      <w:r>
        <w:rPr>
          <w:rFonts w:hint="eastAsia" w:ascii="方正小标宋_GBK" w:eastAsia="方正小标宋_GBK" w:cs="方正小标宋_GBK"/>
          <w:sz w:val="36"/>
          <w:szCs w:val="36"/>
        </w:rPr>
        <w:t>兰州市科协第十三届（</w:t>
      </w:r>
      <w:r>
        <w:rPr>
          <w:rFonts w:ascii="方正小标宋_GBK" w:eastAsia="方正小标宋_GBK" w:cs="方正小标宋_GBK"/>
          <w:sz w:val="36"/>
          <w:szCs w:val="36"/>
        </w:rPr>
        <w:t>2016-2017</w:t>
      </w:r>
      <w:r>
        <w:rPr>
          <w:rFonts w:hint="eastAsia" w:ascii="方正小标宋_GBK" w:eastAsia="方正小标宋_GBK" w:cs="方正小标宋_GBK"/>
          <w:sz w:val="36"/>
          <w:szCs w:val="36"/>
        </w:rPr>
        <w:t>年度）“金桥工程”项目汇总表</w:t>
      </w:r>
    </w:p>
    <w:p>
      <w:pPr>
        <w:rPr>
          <w:rFonts w:ascii="仿宋_GB2312" w:eastAsia="仿宋_GB2312" w:cs="Times New Roman"/>
          <w:sz w:val="18"/>
          <w:szCs w:val="18"/>
        </w:rPr>
      </w:pPr>
    </w:p>
    <w:p>
      <w:pPr>
        <w:rPr>
          <w:rFonts w:ascii="方正小标宋_GBK" w:eastAsia="方正小标宋_GBK" w:cs="Times New Roman"/>
          <w:sz w:val="36"/>
          <w:szCs w:val="36"/>
        </w:rPr>
      </w:pPr>
      <w:r>
        <w:rPr>
          <w:rFonts w:hint="eastAsia" w:ascii="仿宋_GB2312" w:eastAsia="仿宋_GB2312" w:cs="仿宋_GB2312"/>
          <w:sz w:val="28"/>
          <w:szCs w:val="28"/>
        </w:rPr>
        <w:t>报送单位：</w:t>
      </w:r>
      <w:r>
        <w:rPr>
          <w:rFonts w:ascii="仿宋_GB2312" w:eastAsia="仿宋_GB2312" w:cs="仿宋_GB2312"/>
          <w:sz w:val="28"/>
          <w:szCs w:val="28"/>
        </w:rPr>
        <w:t xml:space="preserve">                                                                             </w:t>
      </w:r>
      <w:r>
        <w:rPr>
          <w:rFonts w:hint="eastAsia" w:ascii="仿宋_GB2312" w:eastAsia="仿宋_GB2312" w:cs="仿宋_GB2312"/>
          <w:sz w:val="28"/>
          <w:szCs w:val="28"/>
        </w:rPr>
        <w:t>年</w:t>
      </w:r>
      <w:r>
        <w:rPr>
          <w:rFonts w:ascii="仿宋_GB2312" w:eastAsia="仿宋_GB2312" w:cs="仿宋_GB2312"/>
          <w:sz w:val="28"/>
          <w:szCs w:val="28"/>
        </w:rPr>
        <w:t xml:space="preserve">    </w:t>
      </w:r>
      <w:r>
        <w:rPr>
          <w:rFonts w:hint="eastAsia" w:ascii="仿宋_GB2312" w:eastAsia="仿宋_GB2312" w:cs="仿宋_GB2312"/>
          <w:sz w:val="28"/>
          <w:szCs w:val="28"/>
        </w:rPr>
        <w:t>月</w:t>
      </w:r>
      <w:r>
        <w:rPr>
          <w:rFonts w:asci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eastAsia="仿宋_GB2312" w:cs="仿宋_GB2312"/>
          <w:sz w:val="28"/>
          <w:szCs w:val="28"/>
        </w:rPr>
        <w:t>日</w:t>
      </w:r>
    </w:p>
    <w:p>
      <w:pPr>
        <w:rPr>
          <w:rFonts w:ascii="仿宋_GB2312" w:eastAsia="仿宋_GB2312" w:cs="Times New Roman"/>
        </w:rPr>
      </w:pPr>
    </w:p>
    <w:tbl>
      <w:tblPr>
        <w:tblW w:w="1522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500"/>
        <w:gridCol w:w="1080"/>
        <w:gridCol w:w="533"/>
        <w:gridCol w:w="617"/>
        <w:gridCol w:w="1550"/>
        <w:gridCol w:w="1260"/>
        <w:gridCol w:w="1440"/>
        <w:gridCol w:w="1620"/>
        <w:gridCol w:w="1800"/>
        <w:gridCol w:w="1080"/>
        <w:gridCol w:w="1260"/>
        <w:gridCol w:w="1080"/>
        <w:gridCol w:w="1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49" w:hRule="atLeast"/>
        </w:trPr>
        <w:tc>
          <w:tcPr>
            <w:tcW w:w="500" w:type="dxa"/>
            <w:vMerge w:val="restart"/>
            <w:vAlign w:val="top"/>
          </w:tcPr>
          <w:p>
            <w:pPr>
              <w:rPr>
                <w:rFonts w:cs="Times New Roman"/>
              </w:rPr>
            </w:pPr>
            <w:r>
              <w:rPr>
                <w:rFonts w:hint="eastAsia" w:cs="宋体"/>
              </w:rPr>
              <w:t>序</w:t>
            </w:r>
          </w:p>
          <w:p>
            <w:pPr>
              <w:rPr>
                <w:rFonts w:cs="Times New Roman"/>
              </w:rPr>
            </w:pPr>
          </w:p>
          <w:p>
            <w:pPr>
              <w:rPr>
                <w:rFonts w:cs="Times New Roman"/>
              </w:rPr>
            </w:pPr>
            <w:r>
              <w:rPr>
                <w:rFonts w:hint="eastAsia" w:cs="宋体"/>
              </w:rPr>
              <w:t>号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项目名称</w:t>
            </w:r>
          </w:p>
        </w:tc>
        <w:tc>
          <w:tcPr>
            <w:tcW w:w="533" w:type="dxa"/>
            <w:vMerge w:val="restart"/>
            <w:vAlign w:val="top"/>
          </w:tcPr>
          <w:p>
            <w:pPr>
              <w:rPr>
                <w:rFonts w:cs="Times New Roman"/>
              </w:rPr>
            </w:pPr>
            <w:r>
              <w:rPr>
                <w:rFonts w:hint="eastAsia" w:cs="宋体"/>
              </w:rPr>
              <w:t>类</w:t>
            </w:r>
          </w:p>
          <w:p>
            <w:pPr>
              <w:rPr>
                <w:rFonts w:cs="Times New Roman"/>
              </w:rPr>
            </w:pPr>
          </w:p>
          <w:p>
            <w:pPr>
              <w:rPr>
                <w:rFonts w:cs="Times New Roman"/>
              </w:rPr>
            </w:pPr>
          </w:p>
          <w:p>
            <w:pPr>
              <w:rPr>
                <w:rFonts w:cs="Times New Roman"/>
              </w:rPr>
            </w:pPr>
            <w:r>
              <w:rPr>
                <w:rFonts w:hint="eastAsia" w:cs="宋体"/>
              </w:rPr>
              <w:t>别</w:t>
            </w:r>
          </w:p>
        </w:tc>
        <w:tc>
          <w:tcPr>
            <w:tcW w:w="617" w:type="dxa"/>
            <w:vMerge w:val="restart"/>
            <w:vAlign w:val="top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专业</w:t>
            </w:r>
          </w:p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分类</w:t>
            </w:r>
          </w:p>
        </w:tc>
        <w:tc>
          <w:tcPr>
            <w:tcW w:w="1550" w:type="dxa"/>
            <w:vMerge w:val="restart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搭“桥”单位</w:t>
            </w:r>
          </w:p>
        </w:tc>
        <w:tc>
          <w:tcPr>
            <w:tcW w:w="1260" w:type="dxa"/>
            <w:vMerge w:val="restart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项目提供单位</w:t>
            </w:r>
          </w:p>
        </w:tc>
        <w:tc>
          <w:tcPr>
            <w:tcW w:w="1440" w:type="dxa"/>
            <w:vMerge w:val="restart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项目采用</w:t>
            </w:r>
            <w:r>
              <w:t xml:space="preserve">     </w:t>
            </w:r>
            <w:r>
              <w:rPr>
                <w:rFonts w:hint="eastAsia" w:cs="宋体"/>
              </w:rPr>
              <w:t>单</w:t>
            </w:r>
            <w:r>
              <w:t xml:space="preserve"> </w:t>
            </w:r>
            <w:r>
              <w:rPr>
                <w:rFonts w:hint="eastAsia" w:cs="宋体"/>
              </w:rPr>
              <w:t>位</w:t>
            </w:r>
          </w:p>
        </w:tc>
        <w:tc>
          <w:tcPr>
            <w:tcW w:w="1620" w:type="dxa"/>
            <w:vMerge w:val="restart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项目主要内容</w:t>
            </w:r>
          </w:p>
        </w:tc>
        <w:tc>
          <w:tcPr>
            <w:tcW w:w="6628" w:type="dxa"/>
            <w:gridSpan w:val="5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经济效益（万元）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97" w:hRule="atLeast"/>
        </w:trPr>
        <w:tc>
          <w:tcPr>
            <w:tcW w:w="500" w:type="dxa"/>
            <w:vMerge w:val="continue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080" w:type="dxa"/>
            <w:vMerge w:val="continue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533" w:type="dxa"/>
            <w:vMerge w:val="continue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617" w:type="dxa"/>
            <w:vMerge w:val="continue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550" w:type="dxa"/>
            <w:vMerge w:val="continue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260" w:type="dxa"/>
            <w:vMerge w:val="continue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440" w:type="dxa"/>
            <w:vMerge w:val="continue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620" w:type="dxa"/>
            <w:vMerge w:val="continue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投资额及回收期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节约资金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年增利税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纯增收入</w:t>
            </w:r>
          </w:p>
        </w:tc>
        <w:tc>
          <w:tcPr>
            <w:tcW w:w="1408" w:type="dxa"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hint="eastAsia" w:cs="宋体"/>
              </w:rPr>
              <w:t>社会效益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99" w:hRule="atLeast"/>
        </w:trPr>
        <w:tc>
          <w:tcPr>
            <w:tcW w:w="500" w:type="dxa"/>
            <w:vAlign w:val="top"/>
          </w:tcPr>
          <w:p>
            <w:pPr>
              <w:rPr>
                <w:rFonts w:cs="Times New Roman"/>
              </w:rPr>
            </w:pPr>
          </w:p>
          <w:p>
            <w:pPr>
              <w:rPr>
                <w:rFonts w:cs="Times New Roman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533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617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55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62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80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408" w:type="dxa"/>
            <w:vAlign w:val="top"/>
          </w:tcPr>
          <w:p>
            <w:pPr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500" w:type="dxa"/>
            <w:vAlign w:val="top"/>
          </w:tcPr>
          <w:p>
            <w:pPr>
              <w:rPr>
                <w:rFonts w:cs="Times New Roman"/>
              </w:rPr>
            </w:pPr>
          </w:p>
          <w:p>
            <w:pPr>
              <w:rPr>
                <w:rFonts w:cs="Times New Roman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533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617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55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62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80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408" w:type="dxa"/>
            <w:vAlign w:val="top"/>
          </w:tcPr>
          <w:p>
            <w:pPr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500" w:type="dxa"/>
            <w:vAlign w:val="top"/>
          </w:tcPr>
          <w:p>
            <w:pPr>
              <w:rPr>
                <w:rFonts w:cs="Times New Roman"/>
              </w:rPr>
            </w:pPr>
          </w:p>
          <w:p>
            <w:pPr>
              <w:rPr>
                <w:rFonts w:cs="Times New Roman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533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617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55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62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80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408" w:type="dxa"/>
            <w:vAlign w:val="top"/>
          </w:tcPr>
          <w:p>
            <w:pPr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500" w:type="dxa"/>
            <w:vAlign w:val="top"/>
          </w:tcPr>
          <w:p>
            <w:pPr>
              <w:rPr>
                <w:rFonts w:cs="Times New Roman"/>
              </w:rPr>
            </w:pPr>
          </w:p>
          <w:p>
            <w:pPr>
              <w:rPr>
                <w:rFonts w:cs="Times New Roman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533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617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55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62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80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408" w:type="dxa"/>
            <w:vAlign w:val="top"/>
          </w:tcPr>
          <w:p>
            <w:pPr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500" w:type="dxa"/>
            <w:vAlign w:val="top"/>
          </w:tcPr>
          <w:p>
            <w:pPr>
              <w:rPr>
                <w:rFonts w:cs="Times New Roman"/>
              </w:rPr>
            </w:pPr>
          </w:p>
          <w:p>
            <w:pPr>
              <w:rPr>
                <w:rFonts w:cs="Times New Roman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533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617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55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62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80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408" w:type="dxa"/>
            <w:vAlign w:val="top"/>
          </w:tcPr>
          <w:p>
            <w:pPr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500" w:type="dxa"/>
            <w:vAlign w:val="top"/>
          </w:tcPr>
          <w:p>
            <w:pPr>
              <w:rPr>
                <w:rFonts w:cs="Times New Roman"/>
              </w:rPr>
            </w:pPr>
          </w:p>
          <w:p>
            <w:pPr>
              <w:rPr>
                <w:rFonts w:cs="Times New Roman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533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617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55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62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80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080" w:type="dxa"/>
            <w:vAlign w:val="top"/>
          </w:tcPr>
          <w:p>
            <w:pPr>
              <w:rPr>
                <w:rFonts w:cs="Times New Roman"/>
              </w:rPr>
            </w:pPr>
          </w:p>
        </w:tc>
        <w:tc>
          <w:tcPr>
            <w:tcW w:w="1408" w:type="dxa"/>
            <w:vAlign w:val="top"/>
          </w:tcPr>
          <w:p>
            <w:pPr>
              <w:rPr>
                <w:rFonts w:cs="Times New Roman"/>
              </w:rPr>
            </w:pPr>
          </w:p>
        </w:tc>
      </w:tr>
    </w:tbl>
    <w:p>
      <w:pPr>
        <w:rPr>
          <w:rFonts w:ascii="仿宋_GB2312" w:eastAsia="仿宋_GB2312" w:cs="Times New Roman"/>
          <w:sz w:val="24"/>
          <w:szCs w:val="24"/>
        </w:rPr>
      </w:pPr>
    </w:p>
    <w:p>
      <w:pPr>
        <w:rPr>
          <w:rFonts w:ascii="仿宋_GB2312" w:eastAsia="仿宋_GB2312" w:cs="Times New Roman"/>
          <w:sz w:val="24"/>
          <w:szCs w:val="24"/>
        </w:rPr>
      </w:pPr>
      <w:r>
        <w:rPr>
          <w:rFonts w:hint="eastAsia" w:ascii="仿宋_GB2312" w:eastAsia="仿宋_GB2312" w:cs="仿宋_GB2312"/>
          <w:sz w:val="24"/>
          <w:szCs w:val="24"/>
        </w:rPr>
        <w:t>注：</w:t>
      </w:r>
      <w:r>
        <w:rPr>
          <w:rFonts w:ascii="仿宋_GB2312" w:eastAsia="仿宋_GB2312" w:cs="仿宋_GB2312"/>
          <w:sz w:val="24"/>
          <w:szCs w:val="24"/>
        </w:rPr>
        <w:t>1.</w:t>
      </w:r>
      <w:r>
        <w:rPr>
          <w:rFonts w:hint="eastAsia" w:ascii="仿宋_GB2312" w:eastAsia="仿宋_GB2312" w:cs="仿宋_GB2312"/>
          <w:sz w:val="24"/>
          <w:szCs w:val="24"/>
        </w:rPr>
        <w:t>“类别”指技术咨询、技术服务、技术推广、技术转让、产品开发、其它；</w:t>
      </w:r>
    </w:p>
    <w:p>
      <w:pPr>
        <w:ind w:firstLine="31680" w:firstLineChars="200"/>
        <w:rPr>
          <w:rFonts w:ascii="仿宋_GB2312" w:eastAsia="仿宋_GB2312" w:cs="Times New Roman"/>
          <w:sz w:val="24"/>
          <w:szCs w:val="24"/>
        </w:rPr>
      </w:pPr>
      <w:r>
        <w:rPr>
          <w:rFonts w:ascii="仿宋_GB2312" w:eastAsia="仿宋_GB2312" w:cs="仿宋_GB2312"/>
          <w:sz w:val="24"/>
          <w:szCs w:val="24"/>
        </w:rPr>
        <w:t xml:space="preserve">2. </w:t>
      </w:r>
      <w:r>
        <w:rPr>
          <w:rFonts w:hint="eastAsia" w:ascii="仿宋_GB2312" w:eastAsia="仿宋_GB2312" w:cs="仿宋_GB2312"/>
          <w:sz w:val="24"/>
          <w:szCs w:val="24"/>
        </w:rPr>
        <w:t>“专业分类”指材料、医药卫生、化学与化工、能源与节能技术、生命科学与生物技术、交通运输、资源环境、制造业、信息与计算机技术、农林水产、建筑业、其它；</w:t>
      </w:r>
    </w:p>
    <w:p>
      <w:pPr>
        <w:rPr>
          <w:rFonts w:cs="Times New Roman"/>
        </w:rPr>
      </w:pPr>
    </w:p>
    <w:sectPr>
      <w:pgSz w:w="16838" w:h="11906" w:orient="landscape"/>
      <w:pgMar w:top="964" w:right="907" w:bottom="907" w:left="102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10" w:usb3="00000000" w:csb0="00040000" w:csb1="00000000"/>
  </w:font>
  <w:font w:name="方正小标宋_GBK">
    <w:altName w:val="微软雅黑"/>
    <w:panose1 w:val="03000502000000000000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auto"/>
    <w:pitch w:val="default"/>
    <w:sig w:usb0="A00002EF" w:usb1="4000004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nhideWhenUsed="0" w:uiPriority="99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66</Words>
  <Characters>380</Characters>
  <Lines>0</Lines>
  <Paragraphs>0</Paragraphs>
  <ScaleCrop>false</ScaleCrop>
  <LinksUpToDate>false</LinksUpToDate>
  <CharactersWithSpaces>0</CharactersWithSpaces>
  <Application>WPS Office 专业版_9.1.0.4472_{F1E327BC-269C-435d-A152-05C5408002CA}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2017-02-08T03:46:00Z</dcterms:created>
  <dc:creator>DELL</dc:creator>
  <cp:lastModifiedBy>jie</cp:lastModifiedBy>
  <cp:lastPrinted>2017-02-20T01:57:00Z</cp:lastPrinted>
  <dcterms:modified xsi:type="dcterms:W3CDTF">2017-02-27T06:25:39Z</dcterms:modified>
  <dc:title>附件2	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2052-9.1.0.4472</vt:lpwstr>
  </property>
</Properties>
</file>