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方正小标宋简体" w:eastAsia="方正小标宋简体"/>
          <w:bCs/>
          <w:spacing w:val="20"/>
          <w:kern w:val="0"/>
          <w:sz w:val="28"/>
          <w:szCs w:val="28"/>
          <w:lang w:val="en-US" w:eastAsia="zh-CN"/>
        </w:rPr>
      </w:pPr>
      <w:r>
        <w:rPr>
          <w:rFonts w:hint="eastAsia" w:ascii="方正小标宋简体" w:eastAsia="方正小标宋简体"/>
          <w:bCs/>
          <w:spacing w:val="20"/>
          <w:kern w:val="0"/>
          <w:sz w:val="28"/>
          <w:szCs w:val="28"/>
          <w:lang w:val="en-US" w:eastAsia="zh-CN"/>
        </w:rPr>
        <w:t>附件：</w:t>
      </w:r>
    </w:p>
    <w:p>
      <w:pPr>
        <w:jc w:val="center"/>
        <w:rPr>
          <w:rFonts w:hint="default"/>
          <w:lang w:val="en-US"/>
        </w:rPr>
      </w:pPr>
      <w:r>
        <w:rPr>
          <w:rFonts w:hint="eastAsia" w:ascii="方正小标宋简体" w:eastAsia="方正小标宋简体"/>
          <w:bCs/>
          <w:spacing w:val="20"/>
          <w:kern w:val="0"/>
          <w:sz w:val="40"/>
          <w:szCs w:val="40"/>
          <w:lang w:val="en-US" w:eastAsia="zh-CN"/>
        </w:rPr>
        <w:t>推荐参加2021年甘肃省职业教育教学成果奖评选一览表</w:t>
      </w:r>
    </w:p>
    <w:tbl>
      <w:tblPr>
        <w:tblStyle w:val="2"/>
        <w:tblW w:w="13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2977"/>
        <w:gridCol w:w="850"/>
        <w:gridCol w:w="3512"/>
        <w:gridCol w:w="3292"/>
        <w:gridCol w:w="1277"/>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ascii="仿宋" w:hAnsi="仿宋" w:eastAsia="仿宋"/>
                <w:b/>
                <w:sz w:val="24"/>
                <w:szCs w:val="24"/>
              </w:rPr>
            </w:pPr>
            <w:r>
              <w:rPr>
                <w:rFonts w:hint="eastAsia" w:ascii="仿宋" w:hAnsi="仿宋" w:eastAsia="仿宋"/>
                <w:b/>
                <w:sz w:val="24"/>
                <w:szCs w:val="24"/>
              </w:rPr>
              <w:t>序号</w:t>
            </w:r>
          </w:p>
        </w:tc>
        <w:tc>
          <w:tcPr>
            <w:tcW w:w="2977" w:type="dxa"/>
            <w:vAlign w:val="center"/>
          </w:tcPr>
          <w:p>
            <w:pPr>
              <w:ind w:left="-93"/>
              <w:jc w:val="center"/>
              <w:rPr>
                <w:rFonts w:ascii="仿宋" w:hAnsi="仿宋" w:eastAsia="仿宋"/>
                <w:b/>
                <w:sz w:val="24"/>
                <w:szCs w:val="24"/>
              </w:rPr>
            </w:pPr>
            <w:r>
              <w:rPr>
                <w:rFonts w:hint="eastAsia" w:ascii="仿宋" w:hAnsi="仿宋" w:eastAsia="仿宋"/>
                <w:b/>
                <w:sz w:val="24"/>
                <w:szCs w:val="24"/>
              </w:rPr>
              <w:t>推荐成果名称</w:t>
            </w:r>
          </w:p>
        </w:tc>
        <w:tc>
          <w:tcPr>
            <w:tcW w:w="850" w:type="dxa"/>
            <w:vAlign w:val="center"/>
          </w:tcPr>
          <w:p>
            <w:pPr>
              <w:jc w:val="center"/>
              <w:rPr>
                <w:rFonts w:ascii="仿宋" w:hAnsi="仿宋" w:eastAsia="仿宋"/>
                <w:b/>
                <w:sz w:val="24"/>
                <w:szCs w:val="24"/>
              </w:rPr>
            </w:pPr>
            <w:r>
              <w:rPr>
                <w:rFonts w:hint="eastAsia" w:ascii="仿宋" w:hAnsi="仿宋" w:eastAsia="仿宋"/>
                <w:b/>
                <w:sz w:val="24"/>
                <w:szCs w:val="24"/>
              </w:rPr>
              <w:t>推荐等级</w:t>
            </w:r>
          </w:p>
        </w:tc>
        <w:tc>
          <w:tcPr>
            <w:tcW w:w="3512" w:type="dxa"/>
            <w:vAlign w:val="center"/>
          </w:tcPr>
          <w:p>
            <w:pPr>
              <w:jc w:val="center"/>
              <w:rPr>
                <w:rFonts w:ascii="仿宋" w:hAnsi="仿宋" w:eastAsia="仿宋"/>
                <w:b/>
                <w:sz w:val="24"/>
                <w:szCs w:val="24"/>
              </w:rPr>
            </w:pPr>
            <w:r>
              <w:rPr>
                <w:rFonts w:hint="eastAsia" w:ascii="仿宋" w:hAnsi="仿宋" w:eastAsia="仿宋"/>
                <w:b/>
                <w:sz w:val="24"/>
                <w:szCs w:val="24"/>
              </w:rPr>
              <w:t>成果主要完成人</w:t>
            </w:r>
          </w:p>
        </w:tc>
        <w:tc>
          <w:tcPr>
            <w:tcW w:w="3292" w:type="dxa"/>
            <w:vAlign w:val="center"/>
          </w:tcPr>
          <w:p>
            <w:pPr>
              <w:jc w:val="center"/>
              <w:rPr>
                <w:rFonts w:ascii="仿宋" w:hAnsi="仿宋" w:eastAsia="仿宋"/>
                <w:b/>
                <w:sz w:val="24"/>
                <w:szCs w:val="24"/>
              </w:rPr>
            </w:pPr>
            <w:r>
              <w:rPr>
                <w:rFonts w:hint="eastAsia" w:ascii="仿宋" w:hAnsi="仿宋" w:eastAsia="仿宋"/>
                <w:b/>
                <w:sz w:val="24"/>
                <w:szCs w:val="24"/>
              </w:rPr>
              <w:t>成果主要完成单位</w:t>
            </w:r>
          </w:p>
        </w:tc>
        <w:tc>
          <w:tcPr>
            <w:tcW w:w="1277" w:type="dxa"/>
            <w:vAlign w:val="center"/>
          </w:tcPr>
          <w:p>
            <w:pPr>
              <w:jc w:val="center"/>
              <w:rPr>
                <w:rFonts w:ascii="仿宋" w:hAnsi="仿宋" w:eastAsia="仿宋"/>
                <w:b/>
                <w:sz w:val="24"/>
                <w:szCs w:val="24"/>
              </w:rPr>
            </w:pPr>
            <w:r>
              <w:rPr>
                <w:rFonts w:hint="eastAsia" w:ascii="仿宋" w:hAnsi="仿宋" w:eastAsia="仿宋"/>
                <w:b/>
                <w:sz w:val="24"/>
                <w:szCs w:val="24"/>
              </w:rPr>
              <w:t>分数（满分100分）</w:t>
            </w:r>
          </w:p>
        </w:tc>
        <w:tc>
          <w:tcPr>
            <w:tcW w:w="1277" w:type="dxa"/>
            <w:vAlign w:val="center"/>
          </w:tcPr>
          <w:p>
            <w:pPr>
              <w:jc w:val="center"/>
              <w:rPr>
                <w:rFonts w:hint="eastAsia" w:ascii="仿宋" w:hAnsi="仿宋" w:eastAsia="仿宋"/>
                <w:b/>
                <w:sz w:val="24"/>
                <w:szCs w:val="24"/>
                <w:lang w:val="en-US" w:eastAsia="zh-CN"/>
              </w:rPr>
            </w:pPr>
            <w:r>
              <w:rPr>
                <w:rFonts w:hint="eastAsia" w:ascii="仿宋" w:hAnsi="仿宋" w:eastAsia="仿宋"/>
                <w:b/>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高职教育信息化六维度体系建设的探索与实践</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省级一等奖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朱永迪、景兰、邸韬、王铎、</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李巍、李树民、王</w:t>
            </w:r>
            <w:r>
              <w:rPr>
                <w:rFonts w:hint="eastAsia" w:ascii="仿宋_GB2312" w:hAnsi="仿宋_GB2312" w:cs="仿宋_GB2312"/>
                <w:sz w:val="21"/>
                <w:szCs w:val="21"/>
                <w:lang w:val="en-US" w:eastAsia="zh-CN"/>
              </w:rPr>
              <w:t>焱</w:t>
            </w:r>
            <w:bookmarkStart w:id="0" w:name="_GoBack"/>
            <w:bookmarkEnd w:id="0"/>
            <w:r>
              <w:rPr>
                <w:rFonts w:hint="eastAsia" w:ascii="仿宋_GB2312" w:hAnsi="仿宋_GB2312" w:eastAsia="仿宋_GB2312" w:cs="仿宋_GB2312"/>
                <w:sz w:val="21"/>
                <w:szCs w:val="21"/>
              </w:rPr>
              <w:t>林、马炳</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93.4</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2</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“岗证链接、分流分层、德技并修”实践育人体系的探索研究</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省级一等奖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胡宗政、马越、李贵红、屈耀文、</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李宝奇、汪海芳、辛鹏、黄彦龙、</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陈德林、李凯</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广东省机械研究所有限公司</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安徽三维天下科技股份公司</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91.4</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3</w:t>
            </w:r>
          </w:p>
        </w:tc>
        <w:tc>
          <w:tcPr>
            <w:tcW w:w="2977"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助力“技能甘肃”，高职机械类专业技能型人才创造力培养的研究与实践</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省级一等奖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李贵红、胡宗政、杜昕、李珊珊、赵勇成、杨娜</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武汉华中数控股份有限公司</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44" w:type="dxa"/>
            <w:vAlign w:val="center"/>
          </w:tcPr>
          <w:p>
            <w:pPr>
              <w:ind w:left="-93"/>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“标准对接，岗课赛证研创”融通，高职婚庆专业复合型人才培养的构建和实践</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省级一等奖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赵淑巧、张克柱、罗昱、牛悦、</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刘湜、陈霞</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89</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面向行业需求构建厚基础、重实践、创新型汽车专业人才培养体系</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省级二等奖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张子成、常亮、魏莹、王小娟、</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郝萍、赵延红、杨雯、陈静媛、</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白彩盛、李鹏</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88.4</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“模块化+进阶式”竞赛体系促进人才创新创业能力提升的教学改革成果</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省级二等奖</w:t>
            </w:r>
          </w:p>
        </w:tc>
        <w:tc>
          <w:tcPr>
            <w:tcW w:w="3512"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谢华燕、梁璐、潘丽、崔远、</w:t>
            </w:r>
          </w:p>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郭晶、冯文超、王小宁、葛世强、王剑霞、陈天超</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新大陆时代教育科技有限公司</w:t>
            </w:r>
          </w:p>
          <w:p>
            <w:pPr>
              <w:jc w:val="center"/>
              <w:rPr>
                <w:rFonts w:hint="eastAsia" w:ascii="仿宋_GB2312" w:hAnsi="仿宋_GB2312" w:eastAsia="仿宋_GB2312" w:cs="仿宋_GB2312"/>
                <w:w w:val="90"/>
                <w:sz w:val="21"/>
                <w:szCs w:val="21"/>
              </w:rPr>
            </w:pPr>
            <w:r>
              <w:rPr>
                <w:rFonts w:hint="eastAsia" w:ascii="仿宋_GB2312" w:hAnsi="仿宋_GB2312" w:eastAsia="仿宋_GB2312" w:cs="仿宋_GB2312"/>
                <w:sz w:val="21"/>
                <w:szCs w:val="21"/>
              </w:rPr>
              <w:t>深圳市讯方技术股份有限公司</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86.6</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高职院校食品专业群现代学徒制人才培养模式探索与实践</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省级二等奖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0"/>
                <w:w w:val="100"/>
                <w:kern w:val="0"/>
                <w:sz w:val="21"/>
                <w:szCs w:val="21"/>
                <w:fitText w:val="3360" w:id="189734407"/>
              </w:rPr>
              <w:t>赵凤舞、申国霞、王春霖、李宇洁、</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常鑫、孙玉婧、王静、贾国军、</w:t>
            </w:r>
          </w:p>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杨玲、赵晨栋</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兰州裕盛实业有限公司</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青岛铭家尚品餐饮管理有限公司</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苏州松鹤楼餐饮管理有限公司</w:t>
            </w:r>
          </w:p>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甘肃紫金大厨房食品股份有限公司</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iCs w:val="0"/>
                <w:color w:val="000000"/>
                <w:kern w:val="0"/>
                <w:sz w:val="21"/>
                <w:szCs w:val="21"/>
                <w:u w:val="none"/>
                <w:lang w:val="en-US" w:eastAsia="zh-CN" w:bidi="ar"/>
              </w:rPr>
              <w:t>84.8</w:t>
            </w:r>
          </w:p>
        </w:tc>
        <w:tc>
          <w:tcPr>
            <w:tcW w:w="1277"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8</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基于甘肃红色文化虚拟现实平台的高职院校思政课教学改革探索与实践</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省级二等奖</w:t>
            </w:r>
          </w:p>
        </w:tc>
        <w:tc>
          <w:tcPr>
            <w:tcW w:w="3512"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李小玲、刘霞、瓮志义、王丽萍、</w:t>
            </w:r>
          </w:p>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许晓辉、辛天莉、吴莹、李海燕、</w:t>
            </w:r>
          </w:p>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郭慧、王以</w:t>
            </w:r>
          </w:p>
        </w:tc>
        <w:tc>
          <w:tcPr>
            <w:tcW w:w="3292"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tc>
        <w:tc>
          <w:tcPr>
            <w:tcW w:w="1277" w:type="dxa"/>
            <w:vAlign w:val="center"/>
          </w:tcPr>
          <w:p>
            <w:pPr>
              <w:ind w:left="99"/>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84</w:t>
            </w:r>
          </w:p>
        </w:tc>
        <w:tc>
          <w:tcPr>
            <w:tcW w:w="1277" w:type="dxa"/>
            <w:vAlign w:val="center"/>
          </w:tcPr>
          <w:p>
            <w:pPr>
              <w:ind w:left="99"/>
              <w:jc w:val="center"/>
              <w:rPr>
                <w:rFonts w:hint="eastAsia" w:ascii="仿宋_GB2312" w:hAnsi="仿宋_GB2312" w:eastAsia="仿宋_GB2312" w:cs="仿宋_GB2312"/>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444" w:type="dxa"/>
            <w:vAlign w:val="center"/>
          </w:tcPr>
          <w:p>
            <w:pPr>
              <w:ind w:left="-93"/>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9</w:t>
            </w:r>
          </w:p>
        </w:tc>
        <w:tc>
          <w:tcPr>
            <w:tcW w:w="2977" w:type="dxa"/>
            <w:vAlign w:val="center"/>
          </w:tcPr>
          <w:p>
            <w:pPr>
              <w:ind w:left="99"/>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中国“互联网+”大学生创新创业大赛国家金奖培育的实践与启发</w:t>
            </w:r>
          </w:p>
        </w:tc>
        <w:tc>
          <w:tcPr>
            <w:tcW w:w="850"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省级</w:t>
            </w:r>
            <w:r>
              <w:rPr>
                <w:rFonts w:hint="eastAsia" w:ascii="仿宋_GB2312" w:hAnsi="仿宋_GB2312" w:cs="仿宋_GB2312"/>
                <w:sz w:val="21"/>
                <w:szCs w:val="21"/>
                <w:lang w:val="en-US" w:eastAsia="zh-CN"/>
              </w:rPr>
              <w:t>一</w:t>
            </w:r>
            <w:r>
              <w:rPr>
                <w:rFonts w:hint="eastAsia" w:ascii="仿宋_GB2312" w:hAnsi="仿宋_GB2312" w:eastAsia="仿宋_GB2312" w:cs="仿宋_GB2312"/>
                <w:sz w:val="21"/>
                <w:szCs w:val="21"/>
              </w:rPr>
              <w:t>等奖</w:t>
            </w:r>
          </w:p>
        </w:tc>
        <w:tc>
          <w:tcPr>
            <w:tcW w:w="351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赵勇成 张雯  张娟  李吉祥</w:t>
            </w:r>
          </w:p>
        </w:tc>
        <w:tc>
          <w:tcPr>
            <w:tcW w:w="329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兰州职业技术学院</w:t>
            </w:r>
          </w:p>
        </w:tc>
        <w:tc>
          <w:tcPr>
            <w:tcW w:w="1277"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w:t>
            </w:r>
          </w:p>
        </w:tc>
        <w:tc>
          <w:tcPr>
            <w:tcW w:w="1277"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根据甘肃省教育厅（甘教高函[2019]22号）文件直推。</w:t>
            </w:r>
          </w:p>
        </w:tc>
      </w:tr>
    </w:tbl>
    <w:p>
      <w:pPr>
        <w:rPr>
          <w:rFonts w:hint="eastAsia"/>
          <w:lang w:val="en-US" w:eastAsia="zh-CN"/>
        </w:rPr>
      </w:pPr>
      <w:r>
        <w:rPr>
          <w:rFonts w:hint="eastAsia"/>
          <w:lang w:val="en-US" w:eastAsia="zh-CN"/>
        </w:rPr>
        <w:t xml:space="preserve">    </w:t>
      </w:r>
    </w:p>
    <w:p>
      <w:pPr>
        <w:ind w:firstLine="480" w:firstLineChars="200"/>
        <w:rPr>
          <w:rFonts w:hint="default" w:eastAsia="仿宋_GB2312"/>
          <w:sz w:val="24"/>
          <w:szCs w:val="24"/>
          <w:lang w:val="en-US" w:eastAsia="zh-CN"/>
        </w:rPr>
      </w:pPr>
      <w:r>
        <w:rPr>
          <w:rFonts w:hint="eastAsia"/>
          <w:sz w:val="24"/>
          <w:szCs w:val="24"/>
          <w:lang w:val="en-US" w:eastAsia="zh-CN"/>
        </w:rPr>
        <w:t>注：教学成果《中国“互联网+”大学生创新创业大赛国家金奖培育的实践与启发》，根据甘肃省教育厅《甘肃省教育厅关于举办第五届中国“互联网+”大学生创新创业大赛甘肃赛区选拔赛的通知（甘教高函[2019]22号》文件中“为了激励教师积极参与创新创业大赛，投身“互联网+”创新创业教育改革与实践，提升高校的创新创业教育能力和水平，对在全国总决赛中获得金、银奖的指导教师和团队项目，按照甘肃省省级教学成果奖的评审程序，由学校组织、指导教师牵头申报，不占学校当年申报名额，可单独设奖。”的相关精神，直接推荐。</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D0AA8"/>
    <w:rsid w:val="14B91390"/>
    <w:rsid w:val="2F365643"/>
    <w:rsid w:val="3EF916BE"/>
    <w:rsid w:val="690A6235"/>
    <w:rsid w:val="72D90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2021-09-07T06:39:00Z</dcterms:created>
  <dc:creator>Administrator</dc:creator>
  <cp:lastModifiedBy>Administrator</cp:lastModifiedBy>
  <dcterms:modified xsi:type="dcterms:W3CDTF">2021-09-08T00:43:57Z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4DFFA83A20C1452E8FE05F4F64F8C24F</vt:lpwstr>
  </property>
</Properties>
</file>