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CBE" w:rsidRDefault="003C6C43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甘肃省大学生就业创业能力提升工程</w:t>
      </w:r>
    </w:p>
    <w:p w:rsidR="00614CBE" w:rsidRDefault="003C6C43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项目申报指南</w:t>
      </w:r>
    </w:p>
    <w:p w:rsidR="00614CBE" w:rsidRDefault="00614CBE">
      <w:pPr>
        <w:adjustRightInd w:val="0"/>
        <w:snapToGrid w:val="0"/>
        <w:spacing w:line="600" w:lineRule="exact"/>
        <w:rPr>
          <w:rFonts w:ascii="方正小标宋简体" w:eastAsia="方正小标宋简体" w:hAnsi="方正小标宋简体" w:cs="黑体"/>
          <w:sz w:val="32"/>
          <w:szCs w:val="32"/>
        </w:rPr>
      </w:pP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为进一步提升我省大学生就业创业能力，教育厅</w:t>
      </w:r>
      <w:r>
        <w:rPr>
          <w:rFonts w:ascii="仿宋" w:eastAsia="仿宋" w:hAnsi="仿宋" w:cs="仿宋" w:hint="eastAsia"/>
          <w:sz w:val="32"/>
          <w:szCs w:val="32"/>
        </w:rPr>
        <w:t>继续</w:t>
      </w:r>
      <w:r>
        <w:rPr>
          <w:rFonts w:ascii="仿宋" w:eastAsia="仿宋" w:hAnsi="仿宋" w:cs="仿宋" w:hint="eastAsia"/>
          <w:sz w:val="32"/>
          <w:szCs w:val="32"/>
        </w:rPr>
        <w:t>组织开展甘肃省高校大学生就业创业能力提升工程项目申报</w:t>
      </w:r>
      <w:r>
        <w:rPr>
          <w:rFonts w:ascii="仿宋" w:eastAsia="仿宋" w:hAnsi="仿宋" w:cs="仿宋" w:hint="eastAsia"/>
          <w:sz w:val="32"/>
          <w:szCs w:val="32"/>
        </w:rPr>
        <w:t>工作</w:t>
      </w:r>
      <w:r>
        <w:rPr>
          <w:rFonts w:ascii="仿宋" w:eastAsia="仿宋" w:hAnsi="仿宋" w:cs="仿宋" w:hint="eastAsia"/>
          <w:sz w:val="32"/>
          <w:szCs w:val="32"/>
        </w:rPr>
        <w:t>。为规范项目申报，特制定申报指南。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一、项目申报主要选题范围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理论研究部分</w:t>
      </w:r>
      <w:r>
        <w:rPr>
          <w:rFonts w:ascii="黑体" w:eastAsia="黑体" w:hAnsi="黑体" w:cs="黑体" w:hint="eastAsia"/>
          <w:sz w:val="32"/>
          <w:szCs w:val="32"/>
        </w:rPr>
        <w:t>---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（一）高校学生就业创业工作理论研究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习近平新时代中国特色社会主义思想、党的十九届五中全会精神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指导就业创业工作研究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互联网时代大学生就业创业工作研究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中美贸易摩擦、疫情等对大学生就业创业工作影响及应对研究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人工智能背景下大学生就业创业工作研究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>
        <w:rPr>
          <w:rFonts w:ascii="仿宋" w:eastAsia="仿宋" w:hAnsi="仿宋" w:cs="仿宋" w:hint="eastAsia"/>
          <w:sz w:val="32"/>
          <w:szCs w:val="32"/>
        </w:rPr>
        <w:t>大学生就业创业能力及素质研究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</w:t>
      </w:r>
      <w:r>
        <w:rPr>
          <w:rFonts w:ascii="仿宋" w:eastAsia="仿宋" w:hAnsi="仿宋" w:cs="仿宋" w:hint="eastAsia"/>
          <w:sz w:val="32"/>
          <w:szCs w:val="32"/>
        </w:rPr>
        <w:t>大学生职业生涯规划与职业发展研究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7.</w:t>
      </w:r>
      <w:r>
        <w:rPr>
          <w:rFonts w:ascii="仿宋" w:eastAsia="仿宋" w:hAnsi="仿宋" w:cs="仿宋" w:hint="eastAsia"/>
          <w:sz w:val="32"/>
          <w:szCs w:val="32"/>
        </w:rPr>
        <w:t>大学生就业创业工作实际的理论凝练与提升研究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8.</w:t>
      </w:r>
      <w:r>
        <w:rPr>
          <w:rFonts w:ascii="仿宋" w:eastAsia="仿宋" w:hAnsi="仿宋" w:cs="仿宋" w:hint="eastAsia"/>
          <w:sz w:val="32"/>
          <w:szCs w:val="32"/>
        </w:rPr>
        <w:t>国内外大学生就业创业工作比较研究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9.</w:t>
      </w:r>
      <w:r>
        <w:rPr>
          <w:rFonts w:ascii="仿宋" w:eastAsia="仿宋" w:hAnsi="仿宋" w:cs="仿宋" w:hint="eastAsia"/>
          <w:sz w:val="32"/>
          <w:szCs w:val="32"/>
        </w:rPr>
        <w:t>促进产教融合、校企合作的模式及对策研究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10.</w:t>
      </w:r>
      <w:r>
        <w:rPr>
          <w:rFonts w:ascii="仿宋" w:eastAsia="仿宋" w:hAnsi="仿宋" w:cs="仿宋" w:hint="eastAsia"/>
          <w:sz w:val="32"/>
          <w:szCs w:val="32"/>
        </w:rPr>
        <w:t>就业质量调研反馈研究与应用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实践实务部分</w:t>
      </w:r>
      <w:r>
        <w:rPr>
          <w:rFonts w:ascii="黑体" w:eastAsia="黑体" w:hAnsi="黑体" w:cs="黑体" w:hint="eastAsia"/>
          <w:sz w:val="32"/>
          <w:szCs w:val="32"/>
        </w:rPr>
        <w:t>---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（二）高校学生就业创业工作制度建设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11.</w:t>
      </w:r>
      <w:r>
        <w:rPr>
          <w:rFonts w:ascii="仿宋" w:eastAsia="仿宋" w:hAnsi="仿宋" w:cs="仿宋" w:hint="eastAsia"/>
          <w:sz w:val="32"/>
          <w:szCs w:val="32"/>
        </w:rPr>
        <w:t>高校大学生就业创业工作体制机制建设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12.</w:t>
      </w:r>
      <w:r>
        <w:rPr>
          <w:rFonts w:ascii="仿宋" w:eastAsia="仿宋" w:hAnsi="仿宋" w:cs="仿宋" w:hint="eastAsia"/>
          <w:sz w:val="32"/>
          <w:szCs w:val="32"/>
        </w:rPr>
        <w:t>大学生就业创业工作范式构建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13.</w:t>
      </w:r>
      <w:r>
        <w:rPr>
          <w:rFonts w:ascii="仿宋" w:eastAsia="仿宋" w:hAnsi="仿宋" w:cs="仿宋" w:hint="eastAsia"/>
          <w:sz w:val="32"/>
          <w:szCs w:val="32"/>
        </w:rPr>
        <w:t>大学生就业创业工作应变能力与应变机制建设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14.</w:t>
      </w:r>
      <w:r>
        <w:rPr>
          <w:rFonts w:ascii="仿宋" w:eastAsia="仿宋" w:hAnsi="仿宋" w:cs="仿宋" w:hint="eastAsia"/>
          <w:sz w:val="32"/>
          <w:szCs w:val="32"/>
        </w:rPr>
        <w:t>大</w:t>
      </w:r>
      <w:r>
        <w:rPr>
          <w:rFonts w:ascii="仿宋" w:eastAsia="仿宋" w:hAnsi="仿宋" w:cs="仿宋" w:hint="eastAsia"/>
          <w:sz w:val="32"/>
          <w:szCs w:val="32"/>
        </w:rPr>
        <w:t>学生就业创业服务工作体系建设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（三）大学生就业创业能力提升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15.</w:t>
      </w:r>
      <w:r>
        <w:rPr>
          <w:rFonts w:ascii="仿宋" w:eastAsia="仿宋" w:hAnsi="仿宋" w:cs="仿宋" w:hint="eastAsia"/>
          <w:sz w:val="32"/>
          <w:szCs w:val="32"/>
        </w:rPr>
        <w:t>大学生求职能力训练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16.</w:t>
      </w:r>
      <w:r>
        <w:rPr>
          <w:rFonts w:ascii="仿宋" w:eastAsia="仿宋" w:hAnsi="仿宋" w:cs="仿宋" w:hint="eastAsia"/>
          <w:sz w:val="32"/>
          <w:szCs w:val="32"/>
        </w:rPr>
        <w:t>大学生就业创业综合技能提升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17.</w:t>
      </w:r>
      <w:r>
        <w:rPr>
          <w:rFonts w:ascii="仿宋" w:eastAsia="仿宋" w:hAnsi="仿宋" w:cs="仿宋" w:hint="eastAsia"/>
          <w:sz w:val="32"/>
          <w:szCs w:val="32"/>
        </w:rPr>
        <w:t>大学生职业生涯规划培训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18.</w:t>
      </w:r>
      <w:r>
        <w:rPr>
          <w:rFonts w:ascii="仿宋" w:eastAsia="仿宋" w:hAnsi="仿宋" w:cs="仿宋" w:hint="eastAsia"/>
          <w:sz w:val="32"/>
          <w:szCs w:val="32"/>
        </w:rPr>
        <w:t>大学生就业创业活动及实践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（四）大学生就业创业课程建设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19.</w:t>
      </w:r>
      <w:r>
        <w:rPr>
          <w:rFonts w:ascii="仿宋" w:eastAsia="仿宋" w:hAnsi="仿宋" w:cs="仿宋" w:hint="eastAsia"/>
          <w:sz w:val="32"/>
          <w:szCs w:val="32"/>
        </w:rPr>
        <w:t>高校就业创业课程内容建设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20.</w:t>
      </w:r>
      <w:r>
        <w:rPr>
          <w:rFonts w:ascii="仿宋" w:eastAsia="仿宋" w:hAnsi="仿宋" w:cs="仿宋" w:hint="eastAsia"/>
          <w:sz w:val="32"/>
          <w:szCs w:val="32"/>
        </w:rPr>
        <w:t>高校生涯教育模式完善与变革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21.</w:t>
      </w:r>
      <w:r>
        <w:rPr>
          <w:rFonts w:ascii="仿宋" w:eastAsia="仿宋" w:hAnsi="仿宋" w:cs="仿宋" w:hint="eastAsia"/>
          <w:sz w:val="32"/>
          <w:szCs w:val="32"/>
        </w:rPr>
        <w:t>就业课程教学改革与质量提升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22.</w:t>
      </w:r>
      <w:r>
        <w:rPr>
          <w:rFonts w:ascii="仿宋" w:eastAsia="仿宋" w:hAnsi="仿宋" w:cs="仿宋" w:hint="eastAsia"/>
          <w:sz w:val="32"/>
          <w:szCs w:val="32"/>
        </w:rPr>
        <w:t>国外就业指导与生涯教育经验借鉴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（五）校园招聘及就业市场建设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23.</w:t>
      </w:r>
      <w:r>
        <w:rPr>
          <w:rFonts w:ascii="仿宋" w:eastAsia="仿宋" w:hAnsi="仿宋" w:cs="仿宋" w:hint="eastAsia"/>
          <w:sz w:val="32"/>
          <w:szCs w:val="32"/>
        </w:rPr>
        <w:t>校园招聘模式创新与推广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24.</w:t>
      </w:r>
      <w:r>
        <w:rPr>
          <w:rFonts w:ascii="仿宋" w:eastAsia="仿宋" w:hAnsi="仿宋" w:cs="仿宋" w:hint="eastAsia"/>
          <w:sz w:val="32"/>
          <w:szCs w:val="32"/>
        </w:rPr>
        <w:t>就业市场开拓与维护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25.</w:t>
      </w:r>
      <w:r>
        <w:rPr>
          <w:rFonts w:ascii="仿宋" w:eastAsia="仿宋" w:hAnsi="仿宋" w:cs="仿宋" w:hint="eastAsia"/>
          <w:sz w:val="32"/>
          <w:szCs w:val="32"/>
        </w:rPr>
        <w:t>校地、校企人才工作站建设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26.</w:t>
      </w:r>
      <w:r>
        <w:rPr>
          <w:rFonts w:ascii="仿宋" w:eastAsia="仿宋" w:hAnsi="仿宋" w:cs="仿宋" w:hint="eastAsia"/>
          <w:sz w:val="32"/>
          <w:szCs w:val="32"/>
        </w:rPr>
        <w:t>国际组织与海外就业渠道拓展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（六）就业创业师资队伍建设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27.</w:t>
      </w:r>
      <w:r>
        <w:rPr>
          <w:rFonts w:ascii="仿宋" w:eastAsia="仿宋" w:hAnsi="仿宋" w:cs="仿宋" w:hint="eastAsia"/>
          <w:sz w:val="32"/>
          <w:szCs w:val="32"/>
        </w:rPr>
        <w:t>就业创业师资队伍专业化水平提升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28.</w:t>
      </w:r>
      <w:r>
        <w:rPr>
          <w:rFonts w:ascii="仿宋" w:eastAsia="仿宋" w:hAnsi="仿宋" w:cs="仿宋" w:hint="eastAsia"/>
          <w:sz w:val="32"/>
          <w:szCs w:val="32"/>
        </w:rPr>
        <w:t>就业创业师资库建设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29.</w:t>
      </w:r>
      <w:r>
        <w:rPr>
          <w:rFonts w:ascii="仿宋" w:eastAsia="仿宋" w:hAnsi="仿宋" w:cs="仿宋" w:hint="eastAsia"/>
          <w:sz w:val="32"/>
          <w:szCs w:val="32"/>
        </w:rPr>
        <w:t>就业创业团队建设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30.</w:t>
      </w:r>
      <w:r>
        <w:rPr>
          <w:rFonts w:ascii="仿宋" w:eastAsia="仿宋" w:hAnsi="仿宋" w:cs="仿宋" w:hint="eastAsia"/>
          <w:sz w:val="32"/>
          <w:szCs w:val="32"/>
        </w:rPr>
        <w:t>就业创业类名师工作室建设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lastRenderedPageBreak/>
        <w:t>（七）就业创业工作信息化建设</w:t>
      </w:r>
    </w:p>
    <w:p w:rsidR="00614CBE" w:rsidRDefault="003C6C43">
      <w:pPr>
        <w:adjustRightInd w:val="0"/>
        <w:snapToGrid w:val="0"/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（八）其它与大学生就业创业工作相关内容</w:t>
      </w:r>
    </w:p>
    <w:p w:rsidR="00614CBE" w:rsidRDefault="003C6C43">
      <w:pPr>
        <w:adjustRightInd w:val="0"/>
        <w:snapToGrid w:val="0"/>
        <w:spacing w:line="60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t>二、项目评审评分标准</w:t>
      </w:r>
    </w:p>
    <w:tbl>
      <w:tblPr>
        <w:tblW w:w="9795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350"/>
        <w:gridCol w:w="4518"/>
        <w:gridCol w:w="1361"/>
        <w:gridCol w:w="1688"/>
      </w:tblGrid>
      <w:tr w:rsidR="00614CBE">
        <w:trPr>
          <w:trHeight w:val="734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评审内容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评审标准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标准分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</w:rPr>
              <w:t>评分标准</w:t>
            </w:r>
          </w:p>
        </w:tc>
      </w:tr>
      <w:tr w:rsidR="00614CBE">
        <w:trPr>
          <w:trHeight w:val="299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项目价值</w:t>
            </w: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围绕促进毕业生充分就业，助力大学生就业创业能力提升及毕业生就业率、就业质量提高。符合就业创业工作实际，解决就业创业工作面临或迫切需要解决的难点和痛点问题，具有针对性、可行性及推广应用价值。符合项目申报规则。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20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很好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16-20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较好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11-15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一般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6-10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</w:p>
        </w:tc>
      </w:tr>
      <w:tr w:rsidR="00614CBE">
        <w:trPr>
          <w:trHeight w:val="2061"/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lastRenderedPageBreak/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实施保障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负责人和主要成员具备项目实施能力，资料与硬件设施等基础保障齐全，经费预算合理（涉及配套经费的项目应明确配套经费出处，保障到位）。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20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很好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16-20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较好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11-15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</w:p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一般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6-10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</w:p>
        </w:tc>
      </w:tr>
      <w:tr w:rsidR="00614CBE">
        <w:trPr>
          <w:trHeight w:val="3060"/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项目内容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项目思路清晰，论证充分，内涵丰富，举措得当。能够结合工作实际，对实施内容、方法、项目实施周期有符合逻辑的周密计划，结构完整。项目建设围绕目标，突出重点，举措落地，有可行性，对推动就业创业工作发挥普遍性、代表性、前瞻性作用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614CBE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很好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26-30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较好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21-25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一般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10-15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</w:p>
          <w:p w:rsidR="00614CBE" w:rsidRDefault="00614CBE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614CBE">
        <w:trPr>
          <w:trHeight w:val="1691"/>
          <w:jc w:val="center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项目成果</w:t>
            </w:r>
          </w:p>
        </w:tc>
        <w:tc>
          <w:tcPr>
            <w:tcW w:w="4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项目预期目标明确、量化指标清晰、预期效益显著，按期完成。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30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4CBE" w:rsidRDefault="003C6C43">
            <w:pPr>
              <w:widowControl/>
              <w:spacing w:line="48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很好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26-30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较好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21-25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br/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一般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10-15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分</w:t>
            </w:r>
          </w:p>
        </w:tc>
      </w:tr>
    </w:tbl>
    <w:p w:rsidR="00614CBE" w:rsidRDefault="003C6C43">
      <w:pPr>
        <w:spacing w:line="560" w:lineRule="exact"/>
        <w:ind w:firstLineChars="200" w:firstLine="640"/>
        <w:rPr>
          <w:rFonts w:ascii="黑体" w:eastAsia="黑体" w:cs="黑体"/>
          <w:sz w:val="32"/>
          <w:szCs w:val="32"/>
        </w:rPr>
      </w:pPr>
      <w:r>
        <w:rPr>
          <w:rFonts w:ascii="黑体" w:eastAsia="黑体" w:cs="黑体" w:hint="eastAsia"/>
          <w:sz w:val="32"/>
          <w:szCs w:val="32"/>
        </w:rPr>
        <w:lastRenderedPageBreak/>
        <w:t>三、项目验收标准</w:t>
      </w:r>
    </w:p>
    <w:p w:rsidR="00614CBE" w:rsidRDefault="003C6C43">
      <w:pPr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（一）成果形式</w:t>
      </w:r>
    </w:p>
    <w:p w:rsidR="00614CBE" w:rsidRDefault="003C6C43">
      <w:pPr>
        <w:spacing w:line="560" w:lineRule="exact"/>
        <w:ind w:firstLineChars="200" w:firstLine="640"/>
        <w:rPr>
          <w:rFonts w:ascii="仿宋_GB2312" w:eastAsia="华文仿宋"/>
          <w:sz w:val="32"/>
          <w:szCs w:val="32"/>
        </w:rPr>
      </w:pPr>
      <w:r>
        <w:rPr>
          <w:rFonts w:ascii="仿宋_GB2312" w:eastAsia="华文仿宋" w:hint="eastAsia"/>
          <w:sz w:val="32"/>
          <w:szCs w:val="32"/>
        </w:rPr>
        <w:t>高校就业创业理论研究型项目成果形式为结题报告及论文。成果正文字数要求</w:t>
      </w:r>
      <w:r>
        <w:rPr>
          <w:rFonts w:ascii="仿宋_GB2312" w:eastAsia="华文仿宋" w:hint="eastAsia"/>
          <w:sz w:val="32"/>
          <w:szCs w:val="32"/>
        </w:rPr>
        <w:t>1</w:t>
      </w:r>
      <w:r>
        <w:rPr>
          <w:rFonts w:ascii="仿宋_GB2312" w:eastAsia="华文仿宋" w:hint="eastAsia"/>
          <w:sz w:val="32"/>
          <w:szCs w:val="32"/>
        </w:rPr>
        <w:t>万字以上，公开发表论文</w:t>
      </w:r>
      <w:r>
        <w:rPr>
          <w:rFonts w:ascii="仿宋_GB2312" w:eastAsia="华文仿宋" w:hint="eastAsia"/>
          <w:sz w:val="32"/>
          <w:szCs w:val="32"/>
        </w:rPr>
        <w:t>1</w:t>
      </w:r>
      <w:r>
        <w:rPr>
          <w:rFonts w:ascii="仿宋_GB2312" w:eastAsia="华文仿宋" w:hint="eastAsia"/>
          <w:sz w:val="32"/>
          <w:szCs w:val="32"/>
        </w:rPr>
        <w:t>篇。</w:t>
      </w:r>
    </w:p>
    <w:p w:rsidR="00614CBE" w:rsidRDefault="003C6C43">
      <w:pPr>
        <w:spacing w:line="560" w:lineRule="exact"/>
        <w:ind w:firstLineChars="200" w:firstLine="640"/>
        <w:rPr>
          <w:rFonts w:ascii="仿宋_GB2312" w:eastAsia="华文仿宋"/>
          <w:sz w:val="32"/>
          <w:szCs w:val="32"/>
        </w:rPr>
      </w:pPr>
      <w:r>
        <w:rPr>
          <w:rFonts w:ascii="仿宋_GB2312" w:eastAsia="华文仿宋" w:hint="eastAsia"/>
          <w:sz w:val="32"/>
          <w:szCs w:val="32"/>
        </w:rPr>
        <w:t>就业创业实践实务型项目成果形式为阶段性指标与量化验收指标。指标设定要符合我省就业创业工作实际，注重实施效果，内容可量化。</w:t>
      </w:r>
    </w:p>
    <w:p w:rsidR="00614CBE" w:rsidRDefault="003C6C43">
      <w:pPr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（二）结项要求</w:t>
      </w:r>
    </w:p>
    <w:p w:rsidR="00614CBE" w:rsidRDefault="003C6C43">
      <w:pPr>
        <w:spacing w:line="560" w:lineRule="exact"/>
        <w:ind w:firstLineChars="200" w:firstLine="640"/>
        <w:rPr>
          <w:rFonts w:ascii="仿宋_GB2312" w:eastAsia="华文仿宋"/>
          <w:sz w:val="32"/>
          <w:szCs w:val="32"/>
        </w:rPr>
      </w:pPr>
      <w:r>
        <w:rPr>
          <w:rFonts w:ascii="仿宋_GB2312" w:eastAsia="华文仿宋" w:hint="eastAsia"/>
          <w:sz w:val="32"/>
          <w:szCs w:val="32"/>
        </w:rPr>
        <w:t>就业创业理论研究项目</w:t>
      </w:r>
      <w:r>
        <w:rPr>
          <w:rFonts w:ascii="仿宋_GB2312" w:eastAsia="华文仿宋" w:hint="eastAsia"/>
          <w:sz w:val="32"/>
          <w:szCs w:val="32"/>
        </w:rPr>
        <w:t>要</w:t>
      </w:r>
      <w:r>
        <w:rPr>
          <w:rFonts w:ascii="仿宋_GB2312" w:eastAsia="华文仿宋" w:hint="eastAsia"/>
          <w:sz w:val="32"/>
          <w:szCs w:val="32"/>
        </w:rPr>
        <w:t>符合学术规范，学风严谨朴实，具有针对性、实效性及较高的学术价值、实际应用价值和理论指导意义。提交结项申请前，项目负责人须在省级期刊</w:t>
      </w:r>
      <w:r>
        <w:rPr>
          <w:rFonts w:ascii="仿宋_GB2312" w:eastAsia="华文仿宋" w:hint="eastAsia"/>
          <w:sz w:val="32"/>
          <w:szCs w:val="32"/>
        </w:rPr>
        <w:t>及以上</w:t>
      </w:r>
      <w:r>
        <w:rPr>
          <w:rFonts w:ascii="仿宋_GB2312" w:eastAsia="华文仿宋" w:hint="eastAsia"/>
          <w:sz w:val="32"/>
          <w:szCs w:val="32"/>
        </w:rPr>
        <w:t>发表相关论文</w:t>
      </w:r>
      <w:r>
        <w:rPr>
          <w:rFonts w:ascii="仿宋_GB2312" w:eastAsia="华文仿宋" w:hint="eastAsia"/>
          <w:sz w:val="32"/>
          <w:szCs w:val="32"/>
        </w:rPr>
        <w:t>1</w:t>
      </w:r>
      <w:r>
        <w:rPr>
          <w:rFonts w:ascii="仿宋_GB2312" w:eastAsia="华文仿宋" w:hint="eastAsia"/>
          <w:sz w:val="32"/>
          <w:szCs w:val="32"/>
        </w:rPr>
        <w:t>篇（以第一作者名义），须标注“甘肃省就业创业研究课题阶段性研究成果”字样及立项</w:t>
      </w:r>
      <w:r>
        <w:rPr>
          <w:rFonts w:ascii="仿宋_GB2312" w:eastAsia="华文仿宋" w:hint="eastAsia"/>
          <w:sz w:val="32"/>
          <w:szCs w:val="32"/>
        </w:rPr>
        <w:lastRenderedPageBreak/>
        <w:t>编号。</w:t>
      </w:r>
    </w:p>
    <w:p w:rsidR="00614CBE" w:rsidRDefault="003C6C43">
      <w:pPr>
        <w:spacing w:line="560" w:lineRule="exact"/>
        <w:ind w:firstLineChars="200" w:firstLine="640"/>
        <w:rPr>
          <w:rFonts w:ascii="仿宋_GB2312" w:eastAsia="华文仿宋"/>
          <w:sz w:val="32"/>
          <w:szCs w:val="32"/>
        </w:rPr>
      </w:pPr>
      <w:r>
        <w:rPr>
          <w:rFonts w:ascii="仿宋_GB2312" w:eastAsia="华文仿宋" w:hint="eastAsia"/>
          <w:sz w:val="32"/>
          <w:szCs w:val="32"/>
        </w:rPr>
        <w:t>就业创业实践实务型项目目标明确、量化指标科学</w:t>
      </w:r>
      <w:r>
        <w:rPr>
          <w:rFonts w:ascii="仿宋_GB2312" w:eastAsia="华文仿宋" w:hint="eastAsia"/>
          <w:sz w:val="32"/>
          <w:szCs w:val="32"/>
        </w:rPr>
        <w:t>合理</w:t>
      </w:r>
      <w:r>
        <w:rPr>
          <w:rFonts w:ascii="仿宋_GB2312" w:eastAsia="华文仿宋" w:hint="eastAsia"/>
          <w:sz w:val="32"/>
          <w:szCs w:val="32"/>
        </w:rPr>
        <w:t>，组织实施落地</w:t>
      </w:r>
      <w:r>
        <w:rPr>
          <w:rFonts w:ascii="仿宋_GB2312" w:eastAsia="华文仿宋" w:hint="eastAsia"/>
          <w:sz w:val="32"/>
          <w:szCs w:val="32"/>
        </w:rPr>
        <w:t>见效</w:t>
      </w:r>
      <w:r>
        <w:rPr>
          <w:rFonts w:ascii="仿宋_GB2312" w:eastAsia="华文仿宋" w:hint="eastAsia"/>
          <w:sz w:val="32"/>
          <w:szCs w:val="32"/>
        </w:rPr>
        <w:t>，实践效果明显。阶段性指标和</w:t>
      </w:r>
      <w:r>
        <w:rPr>
          <w:rFonts w:ascii="仿宋_GB2312" w:eastAsia="华文仿宋" w:hint="eastAsia"/>
          <w:sz w:val="32"/>
          <w:szCs w:val="32"/>
        </w:rPr>
        <w:t>审核</w:t>
      </w:r>
      <w:r>
        <w:rPr>
          <w:rFonts w:ascii="仿宋_GB2312" w:eastAsia="华文仿宋" w:hint="eastAsia"/>
          <w:sz w:val="32"/>
          <w:szCs w:val="32"/>
        </w:rPr>
        <w:t>验收指标都要符合验收标准。</w:t>
      </w:r>
    </w:p>
    <w:p w:rsidR="00614CBE" w:rsidRDefault="003C6C43">
      <w:pPr>
        <w:spacing w:line="560" w:lineRule="exact"/>
        <w:ind w:firstLineChars="200" w:firstLine="640"/>
        <w:rPr>
          <w:rFonts w:ascii="仿宋_GB2312" w:eastAsia="华文仿宋"/>
          <w:sz w:val="32"/>
          <w:szCs w:val="32"/>
        </w:rPr>
      </w:pPr>
      <w:r>
        <w:rPr>
          <w:rFonts w:ascii="仿宋_GB2312" w:eastAsia="华文仿宋" w:hint="eastAsia"/>
          <w:sz w:val="32"/>
          <w:szCs w:val="32"/>
        </w:rPr>
        <w:t>省教育厅将选择实施效果好的项目</w:t>
      </w:r>
      <w:r>
        <w:rPr>
          <w:rFonts w:ascii="仿宋_GB2312" w:eastAsia="华文仿宋" w:hint="eastAsia"/>
          <w:sz w:val="32"/>
          <w:szCs w:val="32"/>
        </w:rPr>
        <w:t>在全省高校范围内展示。不合格项目，给予终止项目和公开通报处理，追回经费，</w:t>
      </w:r>
      <w:r>
        <w:rPr>
          <w:rFonts w:ascii="仿宋_GB2312" w:eastAsia="华文仿宋" w:hint="eastAsia"/>
          <w:sz w:val="32"/>
          <w:szCs w:val="32"/>
        </w:rPr>
        <w:t>所在高校</w:t>
      </w:r>
      <w:r>
        <w:rPr>
          <w:rFonts w:ascii="仿宋_GB2312" w:eastAsia="华文仿宋" w:hint="eastAsia"/>
          <w:sz w:val="32"/>
          <w:szCs w:val="32"/>
        </w:rPr>
        <w:t>三年内不得申报和参与甘肃省就业创业相关项</w:t>
      </w:r>
      <w:r>
        <w:rPr>
          <w:rFonts w:ascii="仿宋_GB2312" w:eastAsia="华文仿宋" w:hint="eastAsia"/>
          <w:sz w:val="32"/>
          <w:szCs w:val="32"/>
        </w:rPr>
        <w:t>目。</w:t>
      </w:r>
    </w:p>
    <w:p w:rsidR="00614CBE" w:rsidRDefault="00614CBE">
      <w:pPr>
        <w:spacing w:line="560" w:lineRule="exact"/>
        <w:ind w:firstLineChars="200" w:firstLine="420"/>
        <w:rPr>
          <w:rFonts w:eastAsia="华文仿宋"/>
        </w:rPr>
      </w:pPr>
    </w:p>
    <w:sectPr w:rsidR="00614CBE">
      <w:headerReference w:type="default" r:id="rId7"/>
      <w:footerReference w:type="even" r:id="rId8"/>
      <w:footerReference w:type="default" r:id="rId9"/>
      <w:pgSz w:w="11907" w:h="16840"/>
      <w:pgMar w:top="1418" w:right="1418" w:bottom="1644" w:left="1644" w:header="1021" w:footer="1021" w:gutter="0"/>
      <w:pgNumType w:fmt="numberInDash"/>
      <w:cols w:space="720"/>
      <w:docGrid w:type="lines" w:linePitch="610" w:charSpace="-1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C43" w:rsidRDefault="003C6C43">
      <w:r>
        <w:separator/>
      </w:r>
    </w:p>
  </w:endnote>
  <w:endnote w:type="continuationSeparator" w:id="0">
    <w:p w:rsidR="003C6C43" w:rsidRDefault="003C6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CBE" w:rsidRDefault="003C6C43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614CBE" w:rsidRDefault="00614CB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CBE" w:rsidRDefault="003C6C43">
    <w:pPr>
      <w:pStyle w:val="a4"/>
      <w:framePr w:wrap="around" w:vAnchor="text" w:hAnchor="margin" w:xAlign="center" w:y="1"/>
      <w:rPr>
        <w:rStyle w:val="a7"/>
        <w:rFonts w:ascii="宋体"/>
        <w:szCs w:val="28"/>
      </w:rPr>
    </w:pPr>
    <w:r>
      <w:rPr>
        <w:rStyle w:val="a7"/>
        <w:rFonts w:ascii="宋体" w:hint="eastAsia"/>
        <w:szCs w:val="28"/>
      </w:rPr>
      <w:fldChar w:fldCharType="begin"/>
    </w:r>
    <w:r>
      <w:rPr>
        <w:rStyle w:val="a7"/>
        <w:rFonts w:ascii="宋体" w:hint="eastAsia"/>
        <w:szCs w:val="28"/>
      </w:rPr>
      <w:instrText xml:space="preserve">PAGE  </w:instrText>
    </w:r>
    <w:r>
      <w:rPr>
        <w:rStyle w:val="a7"/>
        <w:rFonts w:ascii="宋体" w:hint="eastAsia"/>
        <w:szCs w:val="28"/>
      </w:rPr>
      <w:fldChar w:fldCharType="separate"/>
    </w:r>
    <w:r w:rsidR="007466DB">
      <w:rPr>
        <w:rStyle w:val="a7"/>
        <w:rFonts w:ascii="宋体"/>
        <w:noProof/>
        <w:szCs w:val="28"/>
      </w:rPr>
      <w:t>- 1 -</w:t>
    </w:r>
    <w:r>
      <w:rPr>
        <w:rStyle w:val="a7"/>
        <w:rFonts w:ascii="宋体" w:hint="eastAsia"/>
        <w:szCs w:val="28"/>
      </w:rPr>
      <w:fldChar w:fldCharType="end"/>
    </w:r>
  </w:p>
  <w:p w:rsidR="00614CBE" w:rsidRDefault="00614CB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C43" w:rsidRDefault="003C6C43">
      <w:r>
        <w:separator/>
      </w:r>
    </w:p>
  </w:footnote>
  <w:footnote w:type="continuationSeparator" w:id="0">
    <w:p w:rsidR="003C6C43" w:rsidRDefault="003C6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CBE" w:rsidRDefault="00614CBE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HorizontalSpacing w:val="197"/>
  <w:drawingGridVerticalSpacing w:val="17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8F2"/>
    <w:rsid w:val="00055FD2"/>
    <w:rsid w:val="00083BB1"/>
    <w:rsid w:val="001B789D"/>
    <w:rsid w:val="001C56DC"/>
    <w:rsid w:val="00272FC3"/>
    <w:rsid w:val="003C639B"/>
    <w:rsid w:val="003C6C43"/>
    <w:rsid w:val="003F623F"/>
    <w:rsid w:val="00425972"/>
    <w:rsid w:val="004F602C"/>
    <w:rsid w:val="00521AA7"/>
    <w:rsid w:val="005E0246"/>
    <w:rsid w:val="00614CBE"/>
    <w:rsid w:val="00677C91"/>
    <w:rsid w:val="007466DB"/>
    <w:rsid w:val="007C798F"/>
    <w:rsid w:val="008A3442"/>
    <w:rsid w:val="008A7546"/>
    <w:rsid w:val="009B6411"/>
    <w:rsid w:val="009E58C8"/>
    <w:rsid w:val="00A219ED"/>
    <w:rsid w:val="00AC014D"/>
    <w:rsid w:val="00B922F5"/>
    <w:rsid w:val="00C578F2"/>
    <w:rsid w:val="00C85FF6"/>
    <w:rsid w:val="00C87523"/>
    <w:rsid w:val="00CD5943"/>
    <w:rsid w:val="00D10649"/>
    <w:rsid w:val="00DE1469"/>
    <w:rsid w:val="00DE1857"/>
    <w:rsid w:val="00DF2E22"/>
    <w:rsid w:val="00E87A35"/>
    <w:rsid w:val="00F02CAF"/>
    <w:rsid w:val="00F11ACC"/>
    <w:rsid w:val="00FA33DF"/>
    <w:rsid w:val="00FF2C11"/>
    <w:rsid w:val="052D4781"/>
    <w:rsid w:val="053921E6"/>
    <w:rsid w:val="070A2582"/>
    <w:rsid w:val="08B82188"/>
    <w:rsid w:val="0CB34039"/>
    <w:rsid w:val="0CE5793E"/>
    <w:rsid w:val="0E4A1592"/>
    <w:rsid w:val="10615B05"/>
    <w:rsid w:val="17227DAD"/>
    <w:rsid w:val="19395201"/>
    <w:rsid w:val="1DBA78E4"/>
    <w:rsid w:val="1F35053C"/>
    <w:rsid w:val="20B80005"/>
    <w:rsid w:val="23D45657"/>
    <w:rsid w:val="25A76C1E"/>
    <w:rsid w:val="265E1BDE"/>
    <w:rsid w:val="2AC72FEF"/>
    <w:rsid w:val="30775142"/>
    <w:rsid w:val="307C6D9A"/>
    <w:rsid w:val="30F3719F"/>
    <w:rsid w:val="31A65180"/>
    <w:rsid w:val="35EA2BDC"/>
    <w:rsid w:val="365B63E5"/>
    <w:rsid w:val="383C6800"/>
    <w:rsid w:val="3CE465D9"/>
    <w:rsid w:val="3EA651F4"/>
    <w:rsid w:val="41286DC3"/>
    <w:rsid w:val="45A725E0"/>
    <w:rsid w:val="4D6D1F80"/>
    <w:rsid w:val="4E3E15AC"/>
    <w:rsid w:val="5349681A"/>
    <w:rsid w:val="57095CC8"/>
    <w:rsid w:val="59721F0D"/>
    <w:rsid w:val="5F077C74"/>
    <w:rsid w:val="63A30111"/>
    <w:rsid w:val="65E7207B"/>
    <w:rsid w:val="672D7179"/>
    <w:rsid w:val="68FA4B0A"/>
    <w:rsid w:val="69083E33"/>
    <w:rsid w:val="6C586FD5"/>
    <w:rsid w:val="704164F4"/>
    <w:rsid w:val="7D23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165DC51-8B10-4FC2-837C-88087187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next w:val="a4"/>
    <w:link w:val="Char"/>
    <w:qFormat/>
    <w:pPr>
      <w:widowControl w:val="0"/>
      <w:ind w:firstLine="555"/>
      <w:jc w:val="both"/>
    </w:pPr>
    <w:rPr>
      <w:rFonts w:ascii="楷体_GB2312" w:eastAsia="楷体_GB2312" w:hAnsi="Times New Roman"/>
      <w:kern w:val="2"/>
      <w:sz w:val="28"/>
      <w:szCs w:val="24"/>
    </w:rPr>
  </w:style>
  <w:style w:type="paragraph" w:styleId="a4">
    <w:name w:val="footer"/>
    <w:basedOn w:val="a"/>
    <w:link w:val="Char0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character" w:styleId="a7">
    <w:name w:val="page number"/>
    <w:qFormat/>
  </w:style>
  <w:style w:type="character" w:customStyle="1" w:styleId="Char1">
    <w:name w:val="页眉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Pr>
      <w:rFonts w:ascii="楷体_GB2312" w:eastAsia="楷体_GB2312" w:hAnsi="Times New Roman" w:cs="Times New Roman"/>
      <w:sz w:val="28"/>
      <w:szCs w:val="24"/>
    </w:rPr>
  </w:style>
  <w:style w:type="paragraph" w:styleId="a8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256</Words>
  <Characters>1465</Characters>
  <Application>Microsoft Office Word</Application>
  <DocSecurity>0</DocSecurity>
  <Lines>12</Lines>
  <Paragraphs>3</Paragraphs>
  <ScaleCrop>false</ScaleCrop>
  <Company>Microsoft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秦正国</dc:creator>
  <cp:lastModifiedBy>hasee</cp:lastModifiedBy>
  <cp:revision>2</cp:revision>
  <dcterms:created xsi:type="dcterms:W3CDTF">2021-03-15T02:43:00Z</dcterms:created>
  <dcterms:modified xsi:type="dcterms:W3CDTF">2021-03-15T02:43:00Z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