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2"/>
        <w:rPr>
          <w:rFonts w:ascii="Times New Roman"/>
          <w:b w:val="0"/>
          <w:sz w:val="12"/>
        </w:rPr>
      </w:pPr>
    </w:p>
    <w:p>
      <w:pPr>
        <w:pStyle w:val="3"/>
        <w:spacing w:line="537" w:lineRule="exact"/>
        <w:ind w:left="1898" w:right="1918"/>
        <w:jc w:val="center"/>
      </w:pPr>
      <w:r>
        <w:pict>
          <v:shape id="_x0000_s2054" o:spid="_x0000_s2054" o:spt="202" type="#_x0000_t202" style="position:absolute;left:0pt;margin-left:77.15pt;margin-top:24.35pt;height:321.7pt;width:688pt;mso-position-horizontal-relative:page;z-index:251659264;mso-width-relative:page;mso-height-relative:page;" filled="f" stroked="f" coordsize="21600,21600">
            <v:path/>
            <v:fill on="f" focussize="0,0"/>
            <v:stroke on="f" joinstyle="miter"/>
            <v:imagedata o:title=""/>
            <o:lock v:ext="edit"/>
            <v:textbox inset="0mm,0mm,0mm,0mm">
              <w:txbxContent>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10"/>
                          <w:ind w:left="239" w:right="232"/>
                          <w:rPr>
                            <w:b/>
                            <w:sz w:val="24"/>
                          </w:rPr>
                        </w:pPr>
                        <w:r>
                          <w:rPr>
                            <w:b/>
                            <w:sz w:val="24"/>
                          </w:rPr>
                          <w:t>序号</w:t>
                        </w:r>
                      </w:p>
                    </w:tc>
                    <w:tc>
                      <w:tcPr>
                        <w:tcW w:w="2384" w:type="dxa"/>
                        <w:shd w:val="clear" w:color="auto" w:fill="BEBEBE"/>
                      </w:tcPr>
                      <w:p>
                        <w:pPr>
                          <w:pStyle w:val="10"/>
                          <w:ind w:left="710"/>
                          <w:jc w:val="left"/>
                          <w:rPr>
                            <w:b/>
                            <w:sz w:val="24"/>
                          </w:rPr>
                        </w:pPr>
                        <w:r>
                          <w:rPr>
                            <w:b/>
                            <w:sz w:val="24"/>
                          </w:rPr>
                          <w:t>故障现象</w:t>
                        </w:r>
                      </w:p>
                    </w:tc>
                    <w:tc>
                      <w:tcPr>
                        <w:tcW w:w="2424" w:type="dxa"/>
                        <w:shd w:val="clear" w:color="auto" w:fill="BEBEBE"/>
                      </w:tcPr>
                      <w:p>
                        <w:pPr>
                          <w:pStyle w:val="10"/>
                          <w:ind w:right="234"/>
                          <w:rPr>
                            <w:b/>
                            <w:sz w:val="24"/>
                          </w:rPr>
                        </w:pPr>
                        <w:r>
                          <w:rPr>
                            <w:b/>
                            <w:sz w:val="24"/>
                          </w:rPr>
                          <w:t>设置位置</w:t>
                        </w:r>
                      </w:p>
                    </w:tc>
                    <w:tc>
                      <w:tcPr>
                        <w:tcW w:w="6805" w:type="dxa"/>
                        <w:shd w:val="clear" w:color="auto" w:fill="BEBEBE"/>
                      </w:tcPr>
                      <w:p>
                        <w:pPr>
                          <w:pStyle w:val="10"/>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1</w:t>
                        </w:r>
                      </w:p>
                    </w:tc>
                    <w:tc>
                      <w:tcPr>
                        <w:tcW w:w="2384" w:type="dxa"/>
                        <w:vMerge w:val="restart"/>
                      </w:tcPr>
                      <w:p>
                        <w:pPr>
                          <w:pStyle w:val="10"/>
                          <w:spacing w:before="0"/>
                          <w:ind w:left="0"/>
                          <w:jc w:val="left"/>
                          <w:rPr>
                            <w:rFonts w:ascii="Microsoft JhengHei"/>
                            <w:b/>
                            <w:sz w:val="32"/>
                          </w:rPr>
                        </w:pPr>
                      </w:p>
                      <w:p>
                        <w:pPr>
                          <w:pStyle w:val="10"/>
                          <w:spacing w:before="4"/>
                          <w:ind w:left="0"/>
                          <w:jc w:val="left"/>
                          <w:rPr>
                            <w:rFonts w:ascii="Microsoft JhengHei"/>
                            <w:b/>
                            <w:sz w:val="44"/>
                          </w:rPr>
                        </w:pPr>
                      </w:p>
                      <w:p>
                        <w:pPr>
                          <w:pStyle w:val="10"/>
                          <w:spacing w:before="0"/>
                          <w:ind w:left="350"/>
                          <w:jc w:val="left"/>
                          <w:rPr>
                            <w:sz w:val="24"/>
                          </w:rPr>
                        </w:pPr>
                        <w:r>
                          <w:rPr>
                            <w:sz w:val="24"/>
                          </w:rPr>
                          <w:t>发动机无法起动</w:t>
                        </w:r>
                      </w:p>
                    </w:tc>
                    <w:tc>
                      <w:tcPr>
                        <w:tcW w:w="2424" w:type="dxa"/>
                      </w:tcPr>
                      <w:p>
                        <w:pPr>
                          <w:pStyle w:val="10"/>
                          <w:ind w:right="234"/>
                          <w:rPr>
                            <w:sz w:val="24"/>
                          </w:rPr>
                        </w:pPr>
                        <w:r>
                          <w:rPr>
                            <w:sz w:val="24"/>
                          </w:rPr>
                          <w:t>原车</w:t>
                        </w:r>
                      </w:p>
                    </w:tc>
                    <w:tc>
                      <w:tcPr>
                        <w:tcW w:w="6805" w:type="dxa"/>
                      </w:tcPr>
                      <w:p>
                        <w:pPr>
                          <w:pStyle w:val="10"/>
                          <w:ind w:left="86" w:right="75"/>
                          <w:rPr>
                            <w:sz w:val="24"/>
                          </w:rPr>
                        </w:pPr>
                        <w:r>
                          <w:rPr>
                            <w:sz w:val="24"/>
                          </w:rPr>
                          <w:t>J907</w:t>
                        </w:r>
                        <w:r>
                          <w:rPr>
                            <w:rFonts w:hint="eastAsia"/>
                            <w:sz w:val="24"/>
                          </w:rPr>
                          <w:t>继电器线圈损坏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2</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83"/>
                          <w:rPr>
                            <w:sz w:val="24"/>
                            <w:lang w:val="en-US"/>
                          </w:rPr>
                        </w:pPr>
                        <w:r>
                          <w:rPr>
                            <w:w w:val="95"/>
                            <w:sz w:val="24"/>
                          </w:rPr>
                          <w:t>CAN-L： J623 的 T91/80线路对地 20 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3</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9"/>
                          <w:rPr>
                            <w:sz w:val="24"/>
                          </w:rPr>
                        </w:pPr>
                        <w:r>
                          <w:rPr>
                            <w:rFonts w:hint="eastAsia"/>
                            <w:sz w:val="24"/>
                          </w:rPr>
                          <w:t>G</w:t>
                        </w:r>
                        <w:r>
                          <w:rPr>
                            <w:sz w:val="24"/>
                          </w:rPr>
                          <w:t>28：T3/2信号线</w:t>
                        </w:r>
                        <w:r>
                          <w:rPr>
                            <w:rFonts w:hint="eastAsia"/>
                            <w:sz w:val="24"/>
                          </w:rPr>
                          <w:t>与</w:t>
                        </w:r>
                        <w:r>
                          <w:rPr>
                            <w:sz w:val="24"/>
                          </w:rPr>
                          <w:t>T3/3</w:t>
                        </w:r>
                        <w:r>
                          <w:rPr>
                            <w:rFonts w:hint="eastAsia"/>
                            <w:sz w:val="24"/>
                          </w:rPr>
                          <w:t>搭铁线</w:t>
                        </w:r>
                        <w:r>
                          <w:rPr>
                            <w:sz w:val="24"/>
                          </w:rPr>
                          <w:t>短路</w:t>
                        </w:r>
                      </w:p>
                      <w:p>
                        <w:pPr>
                          <w:pStyle w:val="10"/>
                          <w:ind w:left="86" w:right="79"/>
                          <w:rPr>
                            <w:sz w:val="24"/>
                          </w:rPr>
                        </w:pPr>
                        <w:r>
                          <w:rPr>
                            <w:rFonts w:hint="eastAsia"/>
                            <w:sz w:val="24"/>
                          </w:rPr>
                          <w:t>G</w:t>
                        </w:r>
                        <w:r>
                          <w:rPr>
                            <w:sz w:val="24"/>
                          </w:rPr>
                          <w:t>300：</w:t>
                        </w:r>
                        <w:r>
                          <w:rPr>
                            <w:rFonts w:hint="eastAsia"/>
                            <w:sz w:val="24"/>
                          </w:rPr>
                          <w:t>T</w:t>
                        </w:r>
                        <w:r>
                          <w:rPr>
                            <w:sz w:val="24"/>
                          </w:rPr>
                          <w:t>3/2信号线</w:t>
                        </w:r>
                        <w:r>
                          <w:rPr>
                            <w:rFonts w:hint="eastAsia"/>
                            <w:sz w:val="24"/>
                          </w:rPr>
                          <w:t>与</w:t>
                        </w:r>
                        <w:r>
                          <w:rPr>
                            <w:sz w:val="24"/>
                          </w:rPr>
                          <w:t>T3/3</w:t>
                        </w:r>
                        <w:r>
                          <w:rPr>
                            <w:rFonts w:hint="eastAsia"/>
                            <w:sz w:val="24"/>
                          </w:rPr>
                          <w:t>搭铁线</w:t>
                        </w:r>
                        <w:r>
                          <w:rPr>
                            <w:sz w:val="24"/>
                          </w:rPr>
                          <w:t>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rFonts w:hint="eastAsia"/>
                            <w:sz w:val="24"/>
                          </w:rPr>
                          <w:t>4</w:t>
                        </w:r>
                      </w:p>
                    </w:tc>
                    <w:tc>
                      <w:tcPr>
                        <w:tcW w:w="2384" w:type="dxa"/>
                        <w:vMerge w:val="continue"/>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9"/>
                          <w:rPr>
                            <w:sz w:val="24"/>
                          </w:rPr>
                        </w:pPr>
                        <w:r>
                          <w:rPr>
                            <w:rFonts w:hint="eastAsia"/>
                            <w:sz w:val="24"/>
                          </w:rPr>
                          <w:t>J</w:t>
                        </w:r>
                        <w:r>
                          <w:rPr>
                            <w:sz w:val="24"/>
                          </w:rPr>
                          <w:t>538</w:t>
                        </w:r>
                        <w:r>
                          <w:rPr>
                            <w:rFonts w:hint="eastAsia"/>
                            <w:sz w:val="24"/>
                          </w:rPr>
                          <w:t>的T</w:t>
                        </w:r>
                        <w:r>
                          <w:rPr>
                            <w:sz w:val="24"/>
                          </w:rPr>
                          <w:t>5</w:t>
                        </w:r>
                        <w:r>
                          <w:rPr>
                            <w:rFonts w:hint="eastAsia"/>
                            <w:sz w:val="24"/>
                          </w:rPr>
                          <w:t>/</w:t>
                        </w:r>
                        <w:r>
                          <w:rPr>
                            <w:sz w:val="24"/>
                          </w:rPr>
                          <w:t>4</w:t>
                        </w:r>
                        <w:r>
                          <w:rPr>
                            <w:rFonts w:hint="eastAsia"/>
                            <w:sz w:val="24"/>
                          </w:rPr>
                          <w:t>搭铁线断路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5</w:t>
                        </w:r>
                      </w:p>
                    </w:tc>
                    <w:tc>
                      <w:tcPr>
                        <w:tcW w:w="2384" w:type="dxa"/>
                        <w:vMerge w:val="restart"/>
                      </w:tcPr>
                      <w:p>
                        <w:pPr>
                          <w:pStyle w:val="10"/>
                          <w:spacing w:before="0"/>
                          <w:ind w:left="0"/>
                          <w:jc w:val="left"/>
                          <w:rPr>
                            <w:rFonts w:ascii="Microsoft JhengHei"/>
                            <w:b/>
                            <w:sz w:val="32"/>
                          </w:rPr>
                        </w:pPr>
                      </w:p>
                      <w:p>
                        <w:pPr>
                          <w:pStyle w:val="10"/>
                          <w:spacing w:before="14"/>
                          <w:ind w:left="0"/>
                          <w:jc w:val="left"/>
                          <w:rPr>
                            <w:rFonts w:ascii="Microsoft JhengHei"/>
                            <w:b/>
                            <w:sz w:val="24"/>
                          </w:rPr>
                        </w:pPr>
                      </w:p>
                      <w:p>
                        <w:pPr>
                          <w:pStyle w:val="10"/>
                          <w:spacing w:before="0"/>
                          <w:ind w:left="350"/>
                          <w:jc w:val="left"/>
                          <w:rPr>
                            <w:sz w:val="24"/>
                          </w:rPr>
                        </w:pPr>
                        <w:r>
                          <w:rPr>
                            <w:sz w:val="24"/>
                          </w:rPr>
                          <w:t>发动机运转不良</w:t>
                        </w:r>
                      </w:p>
                    </w:tc>
                    <w:tc>
                      <w:tcPr>
                        <w:tcW w:w="2424" w:type="dxa"/>
                      </w:tcPr>
                      <w:p>
                        <w:pPr>
                          <w:pStyle w:val="10"/>
                          <w:ind w:right="234"/>
                          <w:rPr>
                            <w:sz w:val="24"/>
                          </w:rPr>
                        </w:pPr>
                        <w:r>
                          <w:rPr>
                            <w:rFonts w:hint="eastAsia"/>
                            <w:sz w:val="24"/>
                          </w:rPr>
                          <w:t>设置盒</w:t>
                        </w:r>
                      </w:p>
                    </w:tc>
                    <w:tc>
                      <w:tcPr>
                        <w:tcW w:w="6805" w:type="dxa"/>
                      </w:tcPr>
                      <w:p>
                        <w:pPr>
                          <w:pStyle w:val="10"/>
                          <w:ind w:left="86" w:right="79"/>
                          <w:rPr>
                            <w:sz w:val="24"/>
                          </w:rPr>
                        </w:pPr>
                        <w:r>
                          <w:rPr>
                            <w:rFonts w:hint="eastAsia"/>
                            <w:sz w:val="24"/>
                          </w:rPr>
                          <w:t>油门踏板传感器G</w:t>
                        </w:r>
                        <w:r>
                          <w:rPr>
                            <w:sz w:val="24"/>
                          </w:rPr>
                          <w:t>79</w:t>
                        </w:r>
                        <w:r>
                          <w:rPr>
                            <w:rFonts w:hint="eastAsia"/>
                            <w:sz w:val="24"/>
                          </w:rPr>
                          <w:t>的T</w:t>
                        </w:r>
                        <w:r>
                          <w:rPr>
                            <w:sz w:val="24"/>
                          </w:rPr>
                          <w:t>6</w:t>
                        </w:r>
                        <w:r>
                          <w:rPr>
                            <w:rFonts w:hint="eastAsia"/>
                            <w:sz w:val="24"/>
                          </w:rPr>
                          <w:t>/</w:t>
                        </w:r>
                        <w:r>
                          <w:rPr>
                            <w:sz w:val="24"/>
                          </w:rPr>
                          <w:t>4</w:t>
                        </w:r>
                        <w:r>
                          <w:rPr>
                            <w:rFonts w:hint="eastAsia"/>
                            <w:sz w:val="24"/>
                          </w:rPr>
                          <w:t>对地短路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001" w:type="dxa"/>
                      </w:tcPr>
                      <w:p>
                        <w:pPr>
                          <w:pStyle w:val="10"/>
                          <w:spacing w:before="93"/>
                          <w:ind w:left="9"/>
                          <w:rPr>
                            <w:sz w:val="24"/>
                          </w:rPr>
                        </w:pPr>
                        <w:r>
                          <w:rPr>
                            <w:sz w:val="24"/>
                          </w:rPr>
                          <w:t>6</w:t>
                        </w:r>
                      </w:p>
                    </w:tc>
                    <w:tc>
                      <w:tcPr>
                        <w:tcW w:w="2384" w:type="dxa"/>
                        <w:vMerge w:val="continue"/>
                        <w:tcBorders>
                          <w:top w:val="nil"/>
                        </w:tcBorders>
                      </w:tcPr>
                      <w:p>
                        <w:pPr>
                          <w:rPr>
                            <w:sz w:val="2"/>
                            <w:szCs w:val="2"/>
                          </w:rPr>
                        </w:pPr>
                      </w:p>
                    </w:tc>
                    <w:tc>
                      <w:tcPr>
                        <w:tcW w:w="2424" w:type="dxa"/>
                      </w:tcPr>
                      <w:p>
                        <w:pPr>
                          <w:pStyle w:val="10"/>
                          <w:spacing w:before="93"/>
                          <w:ind w:right="234"/>
                          <w:rPr>
                            <w:sz w:val="24"/>
                          </w:rPr>
                        </w:pPr>
                        <w:r>
                          <w:rPr>
                            <w:sz w:val="24"/>
                          </w:rPr>
                          <w:t>原车</w:t>
                        </w:r>
                      </w:p>
                    </w:tc>
                    <w:tc>
                      <w:tcPr>
                        <w:tcW w:w="6805" w:type="dxa"/>
                      </w:tcPr>
                      <w:p>
                        <w:pPr>
                          <w:pStyle w:val="10"/>
                          <w:spacing w:before="93"/>
                          <w:ind w:left="86" w:right="74"/>
                          <w:rPr>
                            <w:sz w:val="24"/>
                          </w:rPr>
                        </w:pPr>
                        <w:r>
                          <w:rPr>
                            <w:sz w:val="24"/>
                          </w:rPr>
                          <w:t>3缸火花塞间隙过小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7</w:t>
                        </w:r>
                      </w:p>
                    </w:tc>
                    <w:tc>
                      <w:tcPr>
                        <w:tcW w:w="2384" w:type="dxa"/>
                        <w:vMerge w:val="continue"/>
                        <w:tcBorders>
                          <w:top w:val="nil"/>
                        </w:tcBorders>
                      </w:tcPr>
                      <w:p>
                        <w:pPr>
                          <w:rPr>
                            <w:sz w:val="2"/>
                            <w:szCs w:val="2"/>
                          </w:rPr>
                        </w:pPr>
                      </w:p>
                    </w:tc>
                    <w:tc>
                      <w:tcPr>
                        <w:tcW w:w="2424" w:type="dxa"/>
                      </w:tcPr>
                      <w:p>
                        <w:pPr>
                          <w:pStyle w:val="10"/>
                          <w:ind w:right="234"/>
                          <w:rPr>
                            <w:sz w:val="24"/>
                          </w:rPr>
                        </w:pPr>
                        <w:r>
                          <w:rPr>
                            <w:sz w:val="24"/>
                          </w:rPr>
                          <w:t>设置盒</w:t>
                        </w:r>
                      </w:p>
                    </w:tc>
                    <w:tc>
                      <w:tcPr>
                        <w:tcW w:w="6805" w:type="dxa"/>
                      </w:tcPr>
                      <w:p>
                        <w:pPr>
                          <w:pStyle w:val="10"/>
                          <w:ind w:left="86" w:right="76"/>
                          <w:rPr>
                            <w:sz w:val="24"/>
                          </w:rPr>
                        </w:pPr>
                        <w:r>
                          <w:rPr>
                            <w:sz w:val="24"/>
                          </w:rPr>
                          <w:t>J623 T105/64 到3</w:t>
                        </w:r>
                        <w:r>
                          <w:rPr>
                            <w:rFonts w:hint="eastAsia"/>
                            <w:sz w:val="24"/>
                          </w:rPr>
                          <w:t>缸喷油器T2</w:t>
                        </w:r>
                        <w:r>
                          <w:rPr>
                            <w:sz w:val="24"/>
                          </w:rPr>
                          <w:t>/1</w:t>
                        </w:r>
                        <w:r>
                          <w:rPr>
                            <w:rFonts w:hint="eastAsia"/>
                            <w:sz w:val="24"/>
                          </w:rPr>
                          <w:t>线路</w:t>
                        </w:r>
                        <w:r>
                          <w:rPr>
                            <w:sz w:val="24"/>
                          </w:rPr>
                          <w:t>串 1K 电阻</w:t>
                        </w:r>
                      </w:p>
                    </w:tc>
                  </w:tr>
                </w:tbl>
                <w:p>
                  <w:pPr>
                    <w:pStyle w:val="3"/>
                  </w:pPr>
                </w:p>
              </w:txbxContent>
            </v:textbox>
          </v:shape>
        </w:pict>
      </w:r>
      <w:r>
        <w:t>模块 A：发动机管理技术设置故障点</w:t>
      </w: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1</w:t>
      </w:r>
      <w:r>
        <w:rPr>
          <w:rFonts w:hint="eastAsia" w:ascii="仿宋_GB2312" w:hAnsi="仿宋_GB2312" w:eastAsia="仿宋_GB2312" w:cs="宋体"/>
          <w:b/>
          <w:bCs/>
          <w:sz w:val="28"/>
          <w:szCs w:val="28"/>
        </w:rPr>
        <w:t>分，共</w:t>
      </w:r>
      <w:r>
        <w:rPr>
          <w:rFonts w:ascii="仿宋_GB2312" w:hAnsi="仿宋_GB2312" w:eastAsia="仿宋_GB2312" w:cs="宋体"/>
          <w:b/>
          <w:bCs/>
          <w:sz w:val="28"/>
          <w:szCs w:val="28"/>
        </w:rPr>
        <w:t>5</w:t>
      </w:r>
      <w:r>
        <w:rPr>
          <w:rFonts w:hint="eastAsia" w:ascii="仿宋_GB2312" w:hAnsi="仿宋_GB2312" w:eastAsia="仿宋_GB2312" w:cs="宋体"/>
          <w:b/>
          <w:bCs/>
          <w:sz w:val="28"/>
          <w:szCs w:val="28"/>
        </w:rPr>
        <w:t>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3-1. 关于迈腾B8 2.0TSI车型不踩制动踏板，通过按E378使起动机直接转动的可能原因有：（AC）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A．J271损坏            B．J329损坏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C．制动开关供电电源    D．J104无电源</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3-2. 关于迈腾B8 2.0TSI车型动力CAN总线描述正确的有（CD）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A．ABS控制单元内有120欧姆的终端电阻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B．发动机控制单元内有66欧姆的终端电阻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C．网关控制单元内有120欧姆的终端电阻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D．发动机控制单元内有120欧姆的终端电阻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3-3. 关于迈腾B8 2.0 车型不着车，通过仪表提示“未识别到钥匙”的相关信息可排除哪些部件无异常？(B 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A．J764    B．舒适总线    C．J965     D．J527</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3-4.关于断开迈腾B8 2.0 车型控制单元J519，以下说法正确的是（CD）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A．无论如何都不能解锁方向盘</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B．打开左前门，仪表可以正常显示车门状态信息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C．按左前门中控锁按钮开关，可能使中控锁正常动作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D．电动座椅调节正常工作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3-5. 迈腾B82.0 l TSI发动机霍尔传感器是如何产生方波信号的(B)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A．霍尔传感器有一个接地和一个正极连接。这样，内部电子装置产生方波信号，并通过控制单元信号线发送至控制单元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B．由控制单元提供的正电位被霍尔传感器下拉</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C．霍尔传感器产生交流电压，然后在控制单元中未调制为方波信号</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D．霍尔元件在交变电磁场作用下产生方波信号，传递给控制单元</w:t>
      </w:r>
    </w:p>
    <w:p>
      <w:pPr>
        <w:spacing w:line="560" w:lineRule="exact"/>
        <w:ind w:firstLine="600" w:firstLineChars="200"/>
        <w:rPr>
          <w:rFonts w:ascii="Arial Narrow" w:hAnsi="Arial Narrow" w:eastAsia="仿宋_GB2312"/>
          <w:sz w:val="30"/>
          <w:szCs w:val="30"/>
        </w:rPr>
      </w:pPr>
    </w:p>
    <w:p>
      <w:pPr>
        <w:spacing w:line="537" w:lineRule="exact"/>
        <w:sectPr>
          <w:headerReference r:id="rId3" w:type="default"/>
          <w:footerReference r:id="rId4" w:type="default"/>
          <w:type w:val="continuous"/>
          <w:pgSz w:w="16840" w:h="11910" w:orient="landscape"/>
          <w:pgMar w:top="2280" w:right="1420" w:bottom="280" w:left="1440" w:header="1975" w:footer="720" w:gutter="0"/>
          <w:cols w:space="720" w:num="1"/>
        </w:sectPr>
      </w:pPr>
    </w:p>
    <w:p>
      <w:pPr>
        <w:pStyle w:val="3"/>
        <w:spacing w:before="11"/>
        <w:rPr>
          <w:sz w:val="7"/>
        </w:rPr>
      </w:pPr>
    </w:p>
    <w:p>
      <w:pPr>
        <w:pStyle w:val="3"/>
        <w:spacing w:line="537" w:lineRule="exact"/>
        <w:ind w:left="1898" w:right="1918"/>
        <w:jc w:val="center"/>
      </w:pPr>
      <w:r>
        <w:pict>
          <v:shape id="_x0000_s2053" o:spid="_x0000_s2053" o:spt="202" type="#_x0000_t202" style="position:absolute;left:0pt;margin-left:77.15pt;margin-top:24.35pt;height:257.85pt;width:688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10"/>
                          <w:ind w:left="239" w:right="232"/>
                          <w:rPr>
                            <w:b/>
                            <w:sz w:val="24"/>
                          </w:rPr>
                        </w:pPr>
                        <w:r>
                          <w:rPr>
                            <w:b/>
                            <w:sz w:val="24"/>
                          </w:rPr>
                          <w:t>序号</w:t>
                        </w:r>
                      </w:p>
                    </w:tc>
                    <w:tc>
                      <w:tcPr>
                        <w:tcW w:w="2384" w:type="dxa"/>
                        <w:shd w:val="clear" w:color="auto" w:fill="BEBEBE"/>
                      </w:tcPr>
                      <w:p>
                        <w:pPr>
                          <w:pStyle w:val="10"/>
                          <w:ind w:left="210" w:right="204"/>
                          <w:rPr>
                            <w:b/>
                            <w:sz w:val="24"/>
                          </w:rPr>
                        </w:pPr>
                        <w:r>
                          <w:rPr>
                            <w:b/>
                            <w:sz w:val="24"/>
                          </w:rPr>
                          <w:t>故障现象</w:t>
                        </w:r>
                      </w:p>
                    </w:tc>
                    <w:tc>
                      <w:tcPr>
                        <w:tcW w:w="2424" w:type="dxa"/>
                        <w:shd w:val="clear" w:color="auto" w:fill="BEBEBE"/>
                      </w:tcPr>
                      <w:p>
                        <w:pPr>
                          <w:pStyle w:val="10"/>
                          <w:ind w:right="234"/>
                          <w:rPr>
                            <w:b/>
                            <w:sz w:val="24"/>
                          </w:rPr>
                        </w:pPr>
                        <w:r>
                          <w:rPr>
                            <w:b/>
                            <w:sz w:val="24"/>
                          </w:rPr>
                          <w:t>设置位置</w:t>
                        </w:r>
                      </w:p>
                    </w:tc>
                    <w:tc>
                      <w:tcPr>
                        <w:tcW w:w="6805" w:type="dxa"/>
                        <w:shd w:val="clear" w:color="auto" w:fill="BEBEBE"/>
                      </w:tcPr>
                      <w:p>
                        <w:pPr>
                          <w:pStyle w:val="10"/>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10"/>
                          <w:ind w:left="9"/>
                          <w:rPr>
                            <w:sz w:val="24"/>
                          </w:rPr>
                        </w:pPr>
                        <w:r>
                          <w:rPr>
                            <w:sz w:val="24"/>
                          </w:rPr>
                          <w:t>1</w:t>
                        </w:r>
                      </w:p>
                    </w:tc>
                    <w:tc>
                      <w:tcPr>
                        <w:tcW w:w="2384" w:type="dxa"/>
                        <w:vMerge w:val="restart"/>
                      </w:tcPr>
                      <w:p>
                        <w:pPr>
                          <w:pStyle w:val="10"/>
                          <w:spacing w:before="3"/>
                          <w:ind w:left="0"/>
                          <w:jc w:val="left"/>
                          <w:rPr>
                            <w:rFonts w:ascii="Microsoft JhengHei"/>
                            <w:b/>
                          </w:rPr>
                        </w:pPr>
                      </w:p>
                      <w:p>
                        <w:pPr>
                          <w:pStyle w:val="10"/>
                          <w:spacing w:before="1"/>
                          <w:ind w:left="470"/>
                          <w:jc w:val="left"/>
                          <w:rPr>
                            <w:sz w:val="24"/>
                          </w:rPr>
                        </w:pPr>
                        <w:r>
                          <w:rPr>
                            <w:sz w:val="24"/>
                          </w:rPr>
                          <w:t>电源供电异常</w:t>
                        </w:r>
                      </w:p>
                    </w:tc>
                    <w:tc>
                      <w:tcPr>
                        <w:tcW w:w="2424" w:type="dxa"/>
                      </w:tcPr>
                      <w:p>
                        <w:pPr>
                          <w:pStyle w:val="10"/>
                          <w:ind w:right="234"/>
                          <w:rPr>
                            <w:sz w:val="24"/>
                          </w:rPr>
                        </w:pPr>
                        <w:r>
                          <w:rPr>
                            <w:sz w:val="24"/>
                          </w:rPr>
                          <w:t>设置盒</w:t>
                        </w:r>
                      </w:p>
                    </w:tc>
                    <w:tc>
                      <w:tcPr>
                        <w:tcW w:w="6805" w:type="dxa"/>
                      </w:tcPr>
                      <w:p>
                        <w:pPr>
                          <w:pStyle w:val="10"/>
                          <w:ind w:left="86" w:right="74"/>
                          <w:rPr>
                            <w:sz w:val="24"/>
                          </w:rPr>
                        </w:pPr>
                        <w:r>
                          <w:rPr>
                            <w:rFonts w:hint="eastAsia"/>
                            <w:sz w:val="24"/>
                          </w:rPr>
                          <w:t>E</w:t>
                        </w:r>
                        <w:r>
                          <w:rPr>
                            <w:sz w:val="24"/>
                          </w:rPr>
                          <w:t>378 的 T6/3-J965 的 T40/7 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2</w:t>
                        </w:r>
                      </w:p>
                    </w:tc>
                    <w:tc>
                      <w:tcPr>
                        <w:tcW w:w="2384" w:type="dxa"/>
                        <w:vMerge w:val="continue"/>
                        <w:tcBorders>
                          <w:top w:val="nil"/>
                        </w:tcBorders>
                      </w:tcPr>
                      <w:p>
                        <w:pPr>
                          <w:rPr>
                            <w:sz w:val="2"/>
                            <w:szCs w:val="2"/>
                          </w:rPr>
                        </w:pPr>
                      </w:p>
                    </w:tc>
                    <w:tc>
                      <w:tcPr>
                        <w:tcW w:w="2424" w:type="dxa"/>
                      </w:tcPr>
                      <w:p>
                        <w:pPr>
                          <w:pStyle w:val="10"/>
                          <w:ind w:right="234"/>
                          <w:rPr>
                            <w:sz w:val="24"/>
                          </w:rPr>
                        </w:pPr>
                        <w:r>
                          <w:rPr>
                            <w:sz w:val="24"/>
                          </w:rPr>
                          <w:t>原车</w:t>
                        </w:r>
                      </w:p>
                    </w:tc>
                    <w:tc>
                      <w:tcPr>
                        <w:tcW w:w="6805" w:type="dxa"/>
                      </w:tcPr>
                      <w:p>
                        <w:pPr>
                          <w:pStyle w:val="10"/>
                          <w:ind w:left="86" w:right="79"/>
                          <w:rPr>
                            <w:sz w:val="24"/>
                          </w:rPr>
                        </w:pPr>
                        <w:r>
                          <w:rPr>
                            <w:sz w:val="24"/>
                          </w:rPr>
                          <w:t>SA1（125A）</w:t>
                        </w:r>
                        <w:r>
                          <w:rPr>
                            <w:rFonts w:hint="eastAsia"/>
                            <w:sz w:val="24"/>
                          </w:rPr>
                          <w:t>虚接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001" w:type="dxa"/>
                      </w:tcPr>
                      <w:p>
                        <w:pPr>
                          <w:pStyle w:val="10"/>
                          <w:spacing w:before="16"/>
                          <w:ind w:left="0"/>
                          <w:jc w:val="left"/>
                          <w:rPr>
                            <w:rFonts w:ascii="Microsoft JhengHei"/>
                            <w:b/>
                            <w:sz w:val="21"/>
                          </w:rPr>
                        </w:pPr>
                      </w:p>
                      <w:p>
                        <w:pPr>
                          <w:pStyle w:val="10"/>
                          <w:spacing w:before="1"/>
                          <w:ind w:left="9"/>
                          <w:rPr>
                            <w:sz w:val="24"/>
                          </w:rPr>
                        </w:pPr>
                        <w:r>
                          <w:rPr>
                            <w:sz w:val="24"/>
                          </w:rPr>
                          <w:t>3</w:t>
                        </w:r>
                      </w:p>
                    </w:tc>
                    <w:tc>
                      <w:tcPr>
                        <w:tcW w:w="2384" w:type="dxa"/>
                      </w:tcPr>
                      <w:p>
                        <w:pPr>
                          <w:pStyle w:val="10"/>
                          <w:ind w:left="210" w:right="204"/>
                          <w:rPr>
                            <w:sz w:val="24"/>
                          </w:rPr>
                        </w:pPr>
                        <w:r>
                          <w:rPr>
                            <w:sz w:val="24"/>
                          </w:rPr>
                          <w:t>车辆无法进入</w:t>
                        </w:r>
                      </w:p>
                      <w:p>
                        <w:pPr>
                          <w:pStyle w:val="10"/>
                          <w:spacing w:before="181"/>
                          <w:ind w:left="210" w:right="201"/>
                          <w:rPr>
                            <w:sz w:val="24"/>
                          </w:rPr>
                        </w:pPr>
                        <w:r>
                          <w:rPr>
                            <w:sz w:val="24"/>
                          </w:rPr>
                          <w:t>/起动许可</w:t>
                        </w:r>
                      </w:p>
                    </w:tc>
                    <w:tc>
                      <w:tcPr>
                        <w:tcW w:w="2424" w:type="dxa"/>
                      </w:tcPr>
                      <w:p>
                        <w:pPr>
                          <w:pStyle w:val="10"/>
                          <w:spacing w:before="16"/>
                          <w:ind w:left="0"/>
                          <w:jc w:val="left"/>
                          <w:rPr>
                            <w:rFonts w:ascii="Microsoft JhengHei"/>
                            <w:b/>
                            <w:sz w:val="21"/>
                          </w:rPr>
                        </w:pPr>
                      </w:p>
                      <w:p>
                        <w:pPr>
                          <w:pStyle w:val="10"/>
                          <w:spacing w:before="1"/>
                          <w:ind w:right="234"/>
                          <w:rPr>
                            <w:sz w:val="24"/>
                          </w:rPr>
                        </w:pPr>
                        <w:r>
                          <w:rPr>
                            <w:rFonts w:hint="eastAsia"/>
                            <w:sz w:val="24"/>
                          </w:rPr>
                          <w:t>设置盒</w:t>
                        </w:r>
                      </w:p>
                    </w:tc>
                    <w:tc>
                      <w:tcPr>
                        <w:tcW w:w="6805" w:type="dxa"/>
                      </w:tcPr>
                      <w:p>
                        <w:pPr>
                          <w:pStyle w:val="10"/>
                          <w:spacing w:before="16"/>
                          <w:ind w:left="0"/>
                          <w:jc w:val="left"/>
                          <w:rPr>
                            <w:rFonts w:ascii="Microsoft JhengHei"/>
                            <w:b/>
                            <w:sz w:val="21"/>
                          </w:rPr>
                        </w:pPr>
                      </w:p>
                      <w:p>
                        <w:pPr>
                          <w:pStyle w:val="10"/>
                          <w:spacing w:before="1"/>
                          <w:ind w:left="86" w:right="77"/>
                          <w:rPr>
                            <w:sz w:val="24"/>
                          </w:rPr>
                        </w:pPr>
                        <w:r>
                          <w:rPr>
                            <w:rFonts w:hint="eastAsia"/>
                            <w:sz w:val="24"/>
                          </w:rPr>
                          <w:t>J</w:t>
                        </w:r>
                        <w:r>
                          <w:rPr>
                            <w:sz w:val="24"/>
                          </w:rPr>
                          <w:t>965</w:t>
                        </w:r>
                        <w:r>
                          <w:rPr>
                            <w:rFonts w:hint="eastAsia"/>
                            <w:sz w:val="24"/>
                          </w:rPr>
                          <w:t>的T</w:t>
                        </w:r>
                        <w:r>
                          <w:rPr>
                            <w:sz w:val="24"/>
                          </w:rPr>
                          <w:t>40/15</w:t>
                        </w:r>
                        <w:r>
                          <w:rPr>
                            <w:rFonts w:hint="eastAsia"/>
                            <w:sz w:val="24"/>
                          </w:rPr>
                          <w:t>至J</w:t>
                        </w:r>
                        <w:r>
                          <w:rPr>
                            <w:sz w:val="24"/>
                          </w:rPr>
                          <w:t>623</w:t>
                        </w:r>
                        <w:r>
                          <w:rPr>
                            <w:rFonts w:hint="eastAsia"/>
                            <w:sz w:val="24"/>
                          </w:rPr>
                          <w:t>的T</w:t>
                        </w:r>
                        <w:r>
                          <w:rPr>
                            <w:sz w:val="24"/>
                          </w:rPr>
                          <w:t>91/68</w:t>
                        </w:r>
                        <w:r>
                          <w:rPr>
                            <w:rFonts w:hint="eastAsia"/>
                            <w:sz w:val="24"/>
                          </w:rPr>
                          <w:t>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10"/>
                          <w:ind w:left="9"/>
                          <w:rPr>
                            <w:sz w:val="24"/>
                          </w:rPr>
                        </w:pPr>
                        <w:r>
                          <w:rPr>
                            <w:sz w:val="24"/>
                          </w:rPr>
                          <w:t>4</w:t>
                        </w:r>
                      </w:p>
                    </w:tc>
                    <w:tc>
                      <w:tcPr>
                        <w:tcW w:w="2384" w:type="dxa"/>
                        <w:vMerge w:val="restart"/>
                      </w:tcPr>
                      <w:p>
                        <w:pPr>
                          <w:pStyle w:val="10"/>
                          <w:spacing w:before="10"/>
                          <w:ind w:left="0"/>
                          <w:jc w:val="left"/>
                          <w:rPr>
                            <w:rFonts w:ascii="Microsoft JhengHei"/>
                            <w:b/>
                            <w:sz w:val="24"/>
                          </w:rPr>
                        </w:pPr>
                      </w:p>
                      <w:p>
                        <w:pPr>
                          <w:pStyle w:val="10"/>
                          <w:spacing w:before="0"/>
                          <w:ind w:left="230"/>
                          <w:jc w:val="left"/>
                          <w:rPr>
                            <w:sz w:val="24"/>
                          </w:rPr>
                        </w:pPr>
                        <w:r>
                          <w:rPr>
                            <w:sz w:val="24"/>
                          </w:rPr>
                          <w:t>车身附件功能异常</w:t>
                        </w:r>
                      </w:p>
                    </w:tc>
                    <w:tc>
                      <w:tcPr>
                        <w:tcW w:w="2424" w:type="dxa"/>
                      </w:tcPr>
                      <w:p>
                        <w:pPr>
                          <w:pStyle w:val="10"/>
                          <w:ind w:right="234"/>
                          <w:rPr>
                            <w:sz w:val="24"/>
                          </w:rPr>
                        </w:pPr>
                        <w:r>
                          <w:rPr>
                            <w:sz w:val="24"/>
                          </w:rPr>
                          <w:t>设置盒</w:t>
                        </w:r>
                      </w:p>
                    </w:tc>
                    <w:tc>
                      <w:tcPr>
                        <w:tcW w:w="6805" w:type="dxa"/>
                      </w:tcPr>
                      <w:p>
                        <w:pPr>
                          <w:pStyle w:val="10"/>
                          <w:ind w:left="86" w:right="74"/>
                          <w:rPr>
                            <w:sz w:val="24"/>
                          </w:rPr>
                        </w:pPr>
                        <w:r>
                          <w:rPr>
                            <w:sz w:val="24"/>
                          </w:rPr>
                          <w:t>J387的 T20</w:t>
                        </w:r>
                        <w:r>
                          <w:rPr>
                            <w:rFonts w:hint="eastAsia"/>
                            <w:sz w:val="24"/>
                          </w:rPr>
                          <w:t>a</w:t>
                        </w:r>
                        <w:r>
                          <w:rPr>
                            <w:sz w:val="24"/>
                          </w:rPr>
                          <w:t>/10 至</w:t>
                        </w:r>
                        <w:r>
                          <w:rPr>
                            <w:rFonts w:hint="eastAsia"/>
                            <w:sz w:val="24"/>
                          </w:rPr>
                          <w:t>J</w:t>
                        </w:r>
                        <w:r>
                          <w:rPr>
                            <w:sz w:val="24"/>
                          </w:rPr>
                          <w:t>389的 T20c/10 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001" w:type="dxa"/>
                      </w:tcPr>
                      <w:p>
                        <w:pPr>
                          <w:pStyle w:val="10"/>
                          <w:spacing w:before="134"/>
                          <w:ind w:left="9"/>
                          <w:rPr>
                            <w:sz w:val="24"/>
                          </w:rPr>
                        </w:pPr>
                        <w:r>
                          <w:rPr>
                            <w:sz w:val="24"/>
                          </w:rPr>
                          <w:t>5</w:t>
                        </w:r>
                      </w:p>
                    </w:tc>
                    <w:tc>
                      <w:tcPr>
                        <w:tcW w:w="2384" w:type="dxa"/>
                        <w:vMerge w:val="continue"/>
                        <w:tcBorders>
                          <w:top w:val="nil"/>
                        </w:tcBorders>
                      </w:tcPr>
                      <w:p>
                        <w:pPr>
                          <w:rPr>
                            <w:sz w:val="2"/>
                            <w:szCs w:val="2"/>
                          </w:rPr>
                        </w:pPr>
                      </w:p>
                    </w:tc>
                    <w:tc>
                      <w:tcPr>
                        <w:tcW w:w="2424" w:type="dxa"/>
                      </w:tcPr>
                      <w:p>
                        <w:pPr>
                          <w:pStyle w:val="10"/>
                          <w:spacing w:before="134"/>
                          <w:ind w:right="234"/>
                          <w:rPr>
                            <w:sz w:val="24"/>
                          </w:rPr>
                        </w:pPr>
                        <w:r>
                          <w:rPr>
                            <w:sz w:val="24"/>
                          </w:rPr>
                          <w:t>设置盒</w:t>
                        </w:r>
                      </w:p>
                    </w:tc>
                    <w:tc>
                      <w:tcPr>
                        <w:tcW w:w="6805" w:type="dxa"/>
                      </w:tcPr>
                      <w:p>
                        <w:pPr>
                          <w:pStyle w:val="10"/>
                          <w:spacing w:before="134"/>
                          <w:ind w:left="86" w:right="77"/>
                          <w:rPr>
                            <w:sz w:val="24"/>
                          </w:rPr>
                        </w:pPr>
                        <w:r>
                          <w:rPr>
                            <w:sz w:val="24"/>
                          </w:rPr>
                          <w:t xml:space="preserve">J386 的 T20 /14 </w:t>
                        </w:r>
                        <w:r>
                          <w:rPr>
                            <w:rFonts w:hint="eastAsia"/>
                            <w:sz w:val="24"/>
                          </w:rPr>
                          <w:t>总线线路断路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001" w:type="dxa"/>
                      </w:tcPr>
                      <w:p>
                        <w:pPr>
                          <w:pStyle w:val="10"/>
                          <w:ind w:left="9"/>
                          <w:rPr>
                            <w:sz w:val="24"/>
                          </w:rPr>
                        </w:pPr>
                        <w:r>
                          <w:rPr>
                            <w:sz w:val="24"/>
                          </w:rPr>
                          <w:t>6</w:t>
                        </w:r>
                      </w:p>
                    </w:tc>
                    <w:tc>
                      <w:tcPr>
                        <w:tcW w:w="2384" w:type="dxa"/>
                      </w:tcPr>
                      <w:p>
                        <w:pPr>
                          <w:pStyle w:val="10"/>
                          <w:ind w:left="210" w:right="204"/>
                          <w:rPr>
                            <w:sz w:val="24"/>
                          </w:rPr>
                        </w:pPr>
                        <w:r>
                          <w:rPr>
                            <w:sz w:val="24"/>
                          </w:rPr>
                          <w:t>照明功能异常</w:t>
                        </w:r>
                      </w:p>
                    </w:tc>
                    <w:tc>
                      <w:tcPr>
                        <w:tcW w:w="2424" w:type="dxa"/>
                      </w:tcPr>
                      <w:p>
                        <w:pPr>
                          <w:pStyle w:val="10"/>
                          <w:ind w:right="234"/>
                          <w:rPr>
                            <w:sz w:val="24"/>
                          </w:rPr>
                        </w:pPr>
                        <w:r>
                          <w:rPr>
                            <w:sz w:val="24"/>
                          </w:rPr>
                          <w:t>设置盒</w:t>
                        </w:r>
                      </w:p>
                    </w:tc>
                    <w:tc>
                      <w:tcPr>
                        <w:tcW w:w="6805" w:type="dxa"/>
                      </w:tcPr>
                      <w:p>
                        <w:pPr>
                          <w:pStyle w:val="10"/>
                          <w:ind w:left="86" w:right="79"/>
                          <w:rPr>
                            <w:sz w:val="24"/>
                          </w:rPr>
                        </w:pPr>
                        <w:r>
                          <w:rPr>
                            <w:sz w:val="24"/>
                          </w:rPr>
                          <w:t>EX1 的 T4di/1 线路T4di/2</w:t>
                        </w:r>
                        <w:r>
                          <w:rPr>
                            <w:rFonts w:hint="eastAsia"/>
                            <w:sz w:val="24"/>
                          </w:rPr>
                          <w:t>短</w:t>
                        </w:r>
                        <w:r>
                          <w:rPr>
                            <w:sz w:val="24"/>
                          </w:rPr>
                          <w:t>路（车灯开关）</w:t>
                        </w:r>
                      </w:p>
                    </w:tc>
                  </w:tr>
                </w:tbl>
                <w:p>
                  <w:pPr>
                    <w:pStyle w:val="3"/>
                  </w:pPr>
                </w:p>
              </w:txbxContent>
            </v:textbox>
          </v:shape>
        </w:pict>
      </w:r>
      <w:r>
        <w:t>模块 B：车身电气技术设置故障点</w:t>
      </w: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37" w:lineRule="exact"/>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3</w:t>
      </w:r>
      <w:r>
        <w:rPr>
          <w:rFonts w:hint="eastAsia" w:ascii="仿宋_GB2312" w:hAnsi="仿宋_GB2312" w:eastAsia="仿宋_GB2312" w:cs="宋体"/>
          <w:b/>
          <w:bCs/>
          <w:sz w:val="28"/>
          <w:szCs w:val="28"/>
        </w:rPr>
        <w:t>分，共15分）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1-1．关于迈腾B8舒适总线描述正确的是（ B、D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A．舒适总线在休眠状态下，CAN-L的电压为12V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B．舒适总线在休眠状态下，CAN-L的电压为0V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C．舒适总线在激活状态下，CAN-H的电压为4V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D．舒适总线在激活状态下，CAN-H的基本电压是2.5V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1-2．关于迈腾B8卸荷继电器功能描述正确的是（B、C）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A．通过卸荷继电器控制相关卸荷功能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B．通过逻辑运算判断控制卸荷功能，没有卸荷继电器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C．卸荷功能的作用是在起动时关闭一些辅助的用电器，保证顺利启动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D．卸荷功能的作用是在用电负载比较大时，关闭部分用电器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1-3．关于迈腾B8自诊断OBD-II接口功能描述正确的是（A、C、D）。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A．当30供电端子T16/16断电时，诊断仪无法进行通讯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B．当15供电端子T16/1断电时，诊断仪无法进行通讯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C．当31接地端子T16/4和T16/5同时断开时，诊断仪无法进行通讯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D．当诊断CAN线有一根断开时，诊断仪无法进行通讯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1-4．关于迈腾B8天窗功能描述正确的是（B）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天窗开关为滑动变阻器原理，不同开关位置控制不同天窗开度</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天窗开关通过不同的电位传递天窗不同位置请求信号给天窗控制单元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天窗开关通过Lin线传递天窗开关位置信号给天窗控制单元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天窗开关通过CAN线传递天窗开关位置信号给天窗控制单元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在 LED灯电源线中的电阻器作用是什么  (B)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电阻器总是与 LED 并联连接且限制电压。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电阻器限制电流并防止 LED 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电阻器用于减少车载电气系统中的耗电量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电阻器用于吸收感应电动电带来的波动，限制电压过大。</w:t>
      </w:r>
    </w:p>
    <w:p>
      <w:pPr>
        <w:spacing w:line="537" w:lineRule="exact"/>
        <w:sectPr>
          <w:pgSz w:w="16840" w:h="11910" w:orient="landscape"/>
          <w:pgMar w:top="2280" w:right="1420" w:bottom="280" w:left="1440" w:header="1975" w:footer="0" w:gutter="0"/>
          <w:cols w:space="720" w:num="1"/>
        </w:sectPr>
      </w:pPr>
    </w:p>
    <w:p>
      <w:pPr>
        <w:pStyle w:val="3"/>
        <w:spacing w:line="574" w:lineRule="exact"/>
        <w:ind w:right="1918"/>
        <w:rPr>
          <w:rFonts w:eastAsiaTheme="minorEastAsia"/>
        </w:rPr>
      </w:pPr>
      <w:r>
        <w:rPr>
          <w:rFonts w:hint="eastAsia" w:ascii="Arial Narrow" w:hAnsi="Arial Narrow" w:eastAsia="仿宋_GB2312"/>
          <w:sz w:val="30"/>
          <w:szCs w:val="30"/>
        </w:rPr>
        <w:br w:type="page"/>
      </w:r>
    </w:p>
    <w:sectPr>
      <w:headerReference r:id="rId5" w:type="default"/>
      <w:pgSz w:w="16840" w:h="11910" w:orient="landscape"/>
      <w:pgMar w:top="1100" w:right="1420" w:bottom="280" w:left="144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b w:val="0"/>
        <w:sz w:val="20"/>
      </w:rPr>
    </w:pPr>
    <w:bookmarkStart w:id="0" w:name="_GoBack"/>
    <w:bookmarkEnd w:id="0"/>
    <w:r>
      <w:pict>
        <v:shape id="_x0000_s1026" o:spid="_x0000_s1026" o:spt="202" type="#_x0000_t202" style="position:absolute;left:0pt;margin-left:121.85pt;margin-top:95.9pt;height:18pt;width:597.4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pStyle w:val="3"/>
                  <w:spacing w:line="359" w:lineRule="exact"/>
                  <w:ind w:left="20"/>
                </w:pPr>
                <w:r>
                  <w:rPr>
                    <w:w w:val="95"/>
                  </w:rPr>
                  <w:t>202</w:t>
                </w:r>
                <w:r>
                  <w:rPr>
                    <w:rFonts w:hint="eastAsia" w:eastAsiaTheme="minorEastAsia"/>
                    <w:w w:val="95"/>
                    <w:lang w:val="en-US" w:eastAsia="zh-CN"/>
                  </w:rPr>
                  <w:t>3</w:t>
                </w:r>
                <w:r>
                  <w:rPr>
                    <w:w w:val="95"/>
                  </w:rPr>
                  <w:t xml:space="preserve"> 年全</w:t>
                </w:r>
                <w:r>
                  <w:rPr>
                    <w:rFonts w:hint="eastAsia" w:asciiTheme="minorEastAsia" w:hAnsiTheme="minorEastAsia" w:eastAsiaTheme="minorEastAsia"/>
                    <w:w w:val="95"/>
                  </w:rPr>
                  <w:t>省</w:t>
                </w:r>
                <w:r>
                  <w:rPr>
                    <w:w w:val="95"/>
                  </w:rPr>
                  <w:t>职业院校技能大赛高职组“</w:t>
                </w:r>
                <w:r>
                  <w:rPr>
                    <w:rFonts w:hint="eastAsia" w:asciiTheme="minorEastAsia" w:hAnsiTheme="minorEastAsia" w:eastAsiaTheme="minorEastAsia"/>
                    <w:w w:val="95"/>
                  </w:rPr>
                  <w:t>汽车检测与维修</w:t>
                </w:r>
                <w:r>
                  <w:rPr>
                    <w:w w:val="95"/>
                  </w:rPr>
                  <w:t>”赛项赛题</w:t>
                </w:r>
                <w:r>
                  <w:rPr>
                    <w:rFonts w:hint="eastAsia"/>
                    <w:w w:val="95"/>
                  </w:rPr>
                  <w:t>（第</w:t>
                </w:r>
                <w:r>
                  <w:rPr>
                    <w:rFonts w:hint="eastAsia" w:eastAsia="宋体"/>
                    <w:w w:val="95"/>
                    <w:lang w:val="en-US" w:eastAsia="zh-CN"/>
                  </w:rPr>
                  <w:t>1</w:t>
                </w:r>
                <w:r>
                  <w:rPr>
                    <w:rFonts w:hint="eastAsia"/>
                    <w:w w:val="95"/>
                  </w:rPr>
                  <w:t>套）</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2I2MjZmNDFkZGFkN2U0NGUxZGY2NDExNzllOGNkY2EifQ=="/>
  </w:docVars>
  <w:rsids>
    <w:rsidRoot w:val="00E93CCA"/>
    <w:rsid w:val="0003317E"/>
    <w:rsid w:val="000550AD"/>
    <w:rsid w:val="001068D8"/>
    <w:rsid w:val="001A002C"/>
    <w:rsid w:val="0021082F"/>
    <w:rsid w:val="00273DEB"/>
    <w:rsid w:val="002B7739"/>
    <w:rsid w:val="002E0A77"/>
    <w:rsid w:val="003204A7"/>
    <w:rsid w:val="00340D37"/>
    <w:rsid w:val="004E784E"/>
    <w:rsid w:val="005C1B38"/>
    <w:rsid w:val="006047C1"/>
    <w:rsid w:val="00695CE8"/>
    <w:rsid w:val="006C1E7B"/>
    <w:rsid w:val="00766FB9"/>
    <w:rsid w:val="007B7571"/>
    <w:rsid w:val="007D11BF"/>
    <w:rsid w:val="00832364"/>
    <w:rsid w:val="00852DC3"/>
    <w:rsid w:val="008533C3"/>
    <w:rsid w:val="0087014F"/>
    <w:rsid w:val="0095793A"/>
    <w:rsid w:val="00A00843"/>
    <w:rsid w:val="00AE376A"/>
    <w:rsid w:val="00BF2319"/>
    <w:rsid w:val="00C31FA7"/>
    <w:rsid w:val="00C54435"/>
    <w:rsid w:val="00C814FB"/>
    <w:rsid w:val="00CC6516"/>
    <w:rsid w:val="00DB027C"/>
    <w:rsid w:val="00DD306B"/>
    <w:rsid w:val="00E87D9E"/>
    <w:rsid w:val="00E93CCA"/>
    <w:rsid w:val="00FC01A0"/>
    <w:rsid w:val="00FD6798"/>
    <w:rsid w:val="2C60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zh-CN" w:eastAsia="zh-CN" w:bidi="zh-CN"/>
    </w:rPr>
  </w:style>
  <w:style w:type="paragraph" w:styleId="2">
    <w:name w:val="heading 2"/>
    <w:basedOn w:val="1"/>
    <w:next w:val="1"/>
    <w:link w:val="13"/>
    <w:qFormat/>
    <w:uiPriority w:val="0"/>
    <w:pPr>
      <w:keepNext/>
      <w:keepLines/>
      <w:autoSpaceDE/>
      <w:autoSpaceDN/>
      <w:spacing w:before="260" w:after="260" w:line="413" w:lineRule="auto"/>
      <w:jc w:val="both"/>
      <w:outlineLvl w:val="1"/>
    </w:pPr>
    <w:rPr>
      <w:rFonts w:ascii="Arial" w:hAnsi="Arial" w:eastAsia="黑体" w:cs="Times New Roman"/>
      <w:b/>
      <w:sz w:val="32"/>
      <w:szCs w:val="20"/>
      <w:lang w:val="zh-CN"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rFonts w:ascii="Microsoft JhengHei" w:hAnsi="Microsoft JhengHei" w:eastAsia="Microsoft JhengHei" w:cs="Microsoft JhengHei"/>
      <w:b/>
      <w:bCs/>
      <w:sz w:val="32"/>
      <w:szCs w:val="32"/>
    </w:rPr>
  </w:style>
  <w:style w:type="paragraph" w:styleId="4">
    <w:name w:val="footer"/>
    <w:basedOn w:val="1"/>
    <w:link w:val="12"/>
    <w:unhideWhenUsed/>
    <w:uiPriority w:val="99"/>
    <w:pPr>
      <w:tabs>
        <w:tab w:val="center" w:pos="4153"/>
        <w:tab w:val="right" w:pos="8306"/>
      </w:tabs>
      <w:snapToGrid w:val="0"/>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pPr>
      <w:spacing w:before="91"/>
      <w:ind w:left="243"/>
      <w:jc w:val="center"/>
    </w:pPr>
  </w:style>
  <w:style w:type="character" w:customStyle="1" w:styleId="11">
    <w:name w:val="页眉 字符"/>
    <w:basedOn w:val="7"/>
    <w:link w:val="5"/>
    <w:uiPriority w:val="99"/>
    <w:rPr>
      <w:rFonts w:ascii="微软雅黑" w:hAnsi="微软雅黑" w:eastAsia="微软雅黑" w:cs="微软雅黑"/>
      <w:sz w:val="18"/>
      <w:szCs w:val="18"/>
      <w:lang w:val="zh-CN" w:eastAsia="zh-CN" w:bidi="zh-CN"/>
    </w:rPr>
  </w:style>
  <w:style w:type="character" w:customStyle="1" w:styleId="12">
    <w:name w:val="页脚 字符"/>
    <w:basedOn w:val="7"/>
    <w:link w:val="4"/>
    <w:uiPriority w:val="99"/>
    <w:rPr>
      <w:rFonts w:ascii="微软雅黑" w:hAnsi="微软雅黑" w:eastAsia="微软雅黑" w:cs="微软雅黑"/>
      <w:sz w:val="18"/>
      <w:szCs w:val="18"/>
      <w:lang w:val="zh-CN" w:eastAsia="zh-CN" w:bidi="zh-CN"/>
    </w:rPr>
  </w:style>
  <w:style w:type="character" w:customStyle="1" w:styleId="13">
    <w:name w:val="标题 2 字符"/>
    <w:basedOn w:val="7"/>
    <w:link w:val="2"/>
    <w:qFormat/>
    <w:uiPriority w:val="0"/>
    <w:rPr>
      <w:rFonts w:ascii="Arial" w:hAnsi="Arial" w:eastAsia="黑体" w:cs="Times New Roman"/>
      <w:b/>
      <w:sz w:val="32"/>
      <w:szCs w:val="20"/>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4"/>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E389D-2F9B-4BD1-AA48-7DF4233076FB}">
  <ds:schemaRefs/>
</ds:datastoreItem>
</file>

<file path=docProps/app.xml><?xml version="1.0" encoding="utf-8"?>
<Properties xmlns="http://schemas.openxmlformats.org/officeDocument/2006/extended-properties" xmlns:vt="http://schemas.openxmlformats.org/officeDocument/2006/docPropsVTypes">
  <Template>Normal</Template>
  <Pages>8</Pages>
  <Words>212</Words>
  <Characters>1212</Characters>
  <Lines>10</Lines>
  <Paragraphs>2</Paragraphs>
  <TotalTime>264</TotalTime>
  <ScaleCrop>false</ScaleCrop>
  <LinksUpToDate>false</LinksUpToDate>
  <CharactersWithSpaces>1422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2022-02-25T08:03:00Z</dcterms:created>
  <dc:creator>MI MI</dc:creator>
  <cp:lastModifiedBy>赵磊</cp:lastModifiedBy>
  <dcterms:modified xsi:type="dcterms:W3CDTF">2023-03-07T07:28:02Z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Microsoft® Word 2019</vt:lpwstr>
  </property>
  <property fmtid="{D5CDD505-2E9C-101B-9397-08002B2CF9AE}" pid="4" name="LastSaved">
    <vt:filetime>2022-02-25T00:00:00Z</vt:filetime>
  </property>
  <property fmtid="{D5CDD505-2E9C-101B-9397-08002B2CF9AE}" pid="5" name="KSOProductBuildVer">
    <vt:lpwstr>2052-11.1.0.13703</vt:lpwstr>
  </property>
  <property fmtid="{D5CDD505-2E9C-101B-9397-08002B2CF9AE}" pid="6" name="ICV">
    <vt:lpwstr>49BE3C6D85B543F494B5836DA7B7FE71</vt:lpwstr>
  </property>
</Properties>
</file>