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after="0" w:line="580" w:lineRule="exact"/>
        <w:ind w:left="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附件1：</w:t>
      </w:r>
    </w:p>
    <w:p>
      <w:pPr>
        <w:pStyle w:val="2"/>
        <w:keepNext w:val="0"/>
        <w:keepLines w:val="0"/>
        <w:pageBreakBefore w:val="0"/>
        <w:kinsoku/>
        <w:wordWrap/>
        <w:overflowPunct/>
        <w:topLinePunct w:val="0"/>
        <w:bidi w:val="0"/>
        <w:spacing w:line="580" w:lineRule="exact"/>
        <w:ind w:left="0" w:firstLine="220"/>
        <w:textAlignment w:val="auto"/>
        <w:outlineLvl w:val="9"/>
        <w:rPr>
          <w:rFonts w:hint="eastAsia"/>
          <w:lang w:val="en-US" w:bidi="ar-SA"/>
        </w:rPr>
      </w:pPr>
    </w:p>
    <w:p>
      <w:pPr>
        <w:keepNext w:val="0"/>
        <w:keepLines w:val="0"/>
        <w:pageBreakBefore w:val="0"/>
        <w:widowControl w:val="0"/>
        <w:kinsoku/>
        <w:wordWrap/>
        <w:overflowPunct/>
        <w:topLinePunct w:val="0"/>
        <w:bidi w:val="0"/>
        <w:adjustRightInd/>
        <w:snapToGrid/>
        <w:spacing w:after="0" w:line="580" w:lineRule="exact"/>
        <w:ind w:left="0"/>
        <w:jc w:val="center"/>
        <w:textAlignment w:val="auto"/>
        <w:outlineLvl w:val="9"/>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甘肃省第二届高校区块链技术应用人才</w:t>
      </w:r>
    </w:p>
    <w:p>
      <w:pPr>
        <w:keepNext w:val="0"/>
        <w:keepLines w:val="0"/>
        <w:pageBreakBefore w:val="0"/>
        <w:widowControl w:val="0"/>
        <w:kinsoku/>
        <w:wordWrap/>
        <w:overflowPunct/>
        <w:topLinePunct w:val="0"/>
        <w:bidi w:val="0"/>
        <w:adjustRightInd/>
        <w:snapToGrid/>
        <w:spacing w:after="0" w:line="580" w:lineRule="exact"/>
        <w:ind w:left="0"/>
        <w:jc w:val="center"/>
        <w:textAlignment w:val="auto"/>
        <w:outlineLvl w:val="9"/>
        <w:rPr>
          <w:rFonts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就业创业大赛方案</w:t>
      </w:r>
    </w:p>
    <w:p>
      <w:pPr>
        <w:keepNext w:val="0"/>
        <w:keepLines w:val="0"/>
        <w:pageBreakBefore w:val="0"/>
        <w:widowControl w:val="0"/>
        <w:kinsoku/>
        <w:wordWrap/>
        <w:overflowPunct/>
        <w:topLinePunct w:val="0"/>
        <w:bidi w:val="0"/>
        <w:adjustRightInd/>
        <w:snapToGrid/>
        <w:spacing w:after="0" w:line="580" w:lineRule="exact"/>
        <w:ind w:left="0" w:firstLine="643" w:firstLineChars="200"/>
        <w:jc w:val="both"/>
        <w:textAlignment w:val="auto"/>
        <w:outlineLvl w:val="9"/>
        <w:rPr>
          <w:rFonts w:ascii="宋体" w:hAnsi="宋体" w:eastAsia="宋体" w:cs="宋体"/>
          <w:b/>
          <w:kern w:val="2"/>
          <w:sz w:val="32"/>
          <w:szCs w:val="32"/>
        </w:rPr>
      </w:pP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一、参赛对象及规模</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本赛项为团体赛，面向全省在校大学生。竞赛由省内各高校组队参赛，每校不超过2支参赛队。每队参赛选手4名、指导教师1名。</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二、竞赛内容</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pPr>
      <w:r>
        <w:rPr>
          <w:rFonts w:hint="eastAsia" w:ascii="仿宋" w:hAnsi="仿宋" w:eastAsia="仿宋" w:cs="仿宋"/>
          <w:kern w:val="2"/>
          <w:sz w:val="32"/>
          <w:szCs w:val="32"/>
        </w:rPr>
        <w:t>本次大赛分为两个赛道：“区块链应用人才就业创业” （学生赛道）和“区块链技术应用就业项目” （项目赛道）</w:t>
      </w:r>
    </w:p>
    <w:p>
      <w:pPr>
        <w:pStyle w:val="9"/>
        <w:keepNext w:val="0"/>
        <w:keepLines w:val="0"/>
        <w:pageBreakBefore w:val="0"/>
        <w:widowControl w:val="0"/>
        <w:numPr>
          <w:numId w:val="0"/>
        </w:numPr>
        <w:kinsoku/>
        <w:wordWrap/>
        <w:overflowPunct/>
        <w:topLinePunct w:val="0"/>
        <w:bidi w:val="0"/>
        <w:adjustRightInd/>
        <w:snapToGrid/>
        <w:spacing w:after="0" w:line="580" w:lineRule="exact"/>
        <w:ind w:firstLine="640" w:firstLineChars="200"/>
        <w:jc w:val="both"/>
        <w:textAlignment w:val="auto"/>
        <w:outlineLvl w:val="9"/>
        <w:rPr>
          <w:rFonts w:ascii="楷体" w:hAnsi="楷体" w:eastAsia="楷体"/>
          <w:kern w:val="2"/>
          <w:sz w:val="32"/>
          <w:szCs w:val="32"/>
        </w:rPr>
      </w:pPr>
      <w:r>
        <w:rPr>
          <w:rFonts w:hint="eastAsia" w:ascii="楷体" w:hAnsi="楷体" w:eastAsia="楷体"/>
          <w:kern w:val="2"/>
          <w:sz w:val="32"/>
          <w:szCs w:val="32"/>
          <w:lang w:eastAsia="zh-CN"/>
        </w:rPr>
        <w:t>（一）</w:t>
      </w:r>
      <w:r>
        <w:rPr>
          <w:rFonts w:hint="eastAsia" w:ascii="楷体" w:hAnsi="楷体" w:eastAsia="楷体"/>
          <w:kern w:val="2"/>
          <w:sz w:val="32"/>
          <w:szCs w:val="32"/>
        </w:rPr>
        <w:t>区块链应用人才就业创业（学生赛道）</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包含区块链和大数据两大新技术，参赛选手需完成全部两部分比赛取团队成绩为最终总成绩。赛项为团体赛，采取上机操作的方式。</w:t>
      </w:r>
    </w:p>
    <w:p>
      <w:pPr>
        <w:keepNext w:val="0"/>
        <w:keepLines w:val="0"/>
        <w:pageBreakBefore w:val="0"/>
        <w:widowControl w:val="0"/>
        <w:kinsoku/>
        <w:wordWrap/>
        <w:overflowPunct/>
        <w:topLinePunct w:val="0"/>
        <w:bidi w:val="0"/>
        <w:adjustRightInd/>
        <w:snapToGrid/>
        <w:spacing w:after="0" w:line="580" w:lineRule="exact"/>
        <w:ind w:left="0" w:firstLine="643" w:firstLineChars="200"/>
        <w:jc w:val="both"/>
        <w:textAlignment w:val="auto"/>
        <w:outlineLvl w:val="9"/>
        <w:rPr>
          <w:rFonts w:hint="eastAsia" w:ascii="仿宋" w:hAnsi="仿宋" w:eastAsia="仿宋" w:cs="仿宋"/>
          <w:b/>
          <w:bCs/>
          <w:kern w:val="2"/>
          <w:sz w:val="32"/>
          <w:szCs w:val="32"/>
        </w:rPr>
      </w:pPr>
      <w:r>
        <w:rPr>
          <w:rFonts w:hint="eastAsia" w:ascii="仿宋" w:hAnsi="仿宋" w:eastAsia="仿宋" w:cs="仿宋"/>
          <w:b/>
          <w:bCs/>
          <w:kern w:val="2"/>
          <w:sz w:val="32"/>
          <w:szCs w:val="32"/>
        </w:rPr>
        <w:t>1.区块链技术部分：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包含区块链基础知识、区块链技术应用、区块链创新应用三个模块，计算团队分数，总分值为300分。通过竞赛提高学生团队区块链技术研究开发能力，引导区块链技术研究和应用创新，培养具有区块链思维、底层架构、合约规则设计、开发实战能力的区块链技术人才。</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区块链基础知识模块。对参赛人员区块链技术基础知识的掌握程度进行考核，包括区块链的发展历史、区块链技术原理、区块链架构、区块链应用、区块链价值相关知识。竞赛采用团队赛的比赛形式，使用单选、多选、判断等客观题的形式，系统根据每个参赛人员给出的答案进行评分，每名队员总分值100分，4名队员平均分为团队分数。</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区块链技术应用模块。考核联盟链的基本概念，包括组建CA证书机构的能力、链上业务环境构建能力、链上协议与数据流融合的能力、共识机制集群构建能力、链码编写部署能力、链上数据分布式存储能力、区块链数据库配置能力。竞赛采用团队赛的比赛形式，使用单选、多选等客观题的形式，系统根据每个参赛人员给出的答案进行评分，每名队员总分值100分，4名参赛人员平均分为团队分数。</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区块链创新应用模块。竞赛以各类金融业务案例为场景，考核区块链环境下的业务设计、流程操作等内容，具体包括涉及跨境电商订单采购业务、供应商订单销售与融资业务、保理公司融资业务、境外支付机构咨询与换汇结算业务实际操作能力。加深学生对“专业实务+技术创新”的理解，提升金融业务能力与区块链应用能力。该部分竞赛采用团队赛形式，系统在操作过程中进行埋点，根据参赛者的操作过程自动评分。每名队员总分值25分，4名队员得分合计为团队分数。</w:t>
      </w:r>
    </w:p>
    <w:p>
      <w:pPr>
        <w:keepNext w:val="0"/>
        <w:keepLines w:val="0"/>
        <w:pageBreakBefore w:val="0"/>
        <w:widowControl w:val="0"/>
        <w:kinsoku/>
        <w:wordWrap/>
        <w:overflowPunct/>
        <w:topLinePunct w:val="0"/>
        <w:bidi w:val="0"/>
        <w:adjustRightInd/>
        <w:snapToGrid/>
        <w:spacing w:after="0" w:line="580" w:lineRule="exact"/>
        <w:ind w:left="0" w:firstLine="643" w:firstLineChars="200"/>
        <w:jc w:val="both"/>
        <w:textAlignment w:val="auto"/>
        <w:outlineLvl w:val="9"/>
        <w:rPr>
          <w:rFonts w:hint="eastAsia" w:ascii="仿宋" w:hAnsi="仿宋" w:eastAsia="仿宋" w:cs="仿宋"/>
          <w:b/>
          <w:bCs/>
          <w:kern w:val="2"/>
          <w:sz w:val="32"/>
          <w:szCs w:val="32"/>
        </w:rPr>
      </w:pPr>
      <w:r>
        <w:rPr>
          <w:rFonts w:hint="eastAsia" w:ascii="仿宋" w:hAnsi="仿宋" w:eastAsia="仿宋" w:cs="仿宋"/>
          <w:b/>
          <w:bCs/>
          <w:kern w:val="2"/>
          <w:sz w:val="32"/>
          <w:szCs w:val="32"/>
        </w:rPr>
        <w:t>2.大数据技术部分：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主要内容为商务大数据分析与应用，参赛团队按照财务数据分析、运营数据分析、客户数据分析、行业数据分析四类任务，分4个岗位共同完成数据整理、数据分析两个模块的竞赛内容。每个参赛岗位总分100分，4个岗位得分合计为团队总成绩，总分400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第一模块主要包括数据采集、数据整理、数据处理（DMP 数据管理平台），主要任务是形成规范化、结构化的数据资产，为数据的深入分析和洞察决策做准备。财务数据分析专员、运营分析专员、客户分析专员、行业分析专员分别从源数据库中抽取不同的数据，为数据分析做支撑。</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第二模块主要考核包括数据分析、数据分析结果可视化呈现、撰写决策报告（BA 大数据分析平台）等专业核心能力，解决企业内部管理、外部风险控制、引导企业业务发展。财务数据分析专员、运营分析专员、客户分析专员、行业分析专员分别通过不同岗位的管理模型，呈现出相应的管理看板，财务分析师作为财务部负责人，为公司出智能决策报告。两部分竞赛的团队得分，合计为最终成绩。</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楷体" w:hAnsi="楷体" w:eastAsia="楷体" w:cs="仿宋"/>
          <w:kern w:val="2"/>
          <w:sz w:val="32"/>
          <w:szCs w:val="32"/>
        </w:rPr>
        <w:t>（二）区块链技术应用就业项目（项目赛道）</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通过新技术赋能教育项目设计、应用、评比等，激励广大教职工参与新技术赋能教育教学科研的积极性，促进师资队伍在教育教学方面的综合能力，为有效提升大学生对新兴技术应用能力、就业创业能力奠定坚实基础。</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本赛道以在校项目团队为参赛对象，项目团队以在校教师为主，学生参与为辅。项目范围涉及区块链或大数据教学、专业建设、创新创业等。大赛主要评比各项目团队在方案设计、计划制定、策划实施等方面的竞争力。</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比赛包括“项目计划评审”及“现场路演”两个主要环节，各项目团队先上传项目计划书和PPT，评审组初审择优选定部分项目团队现场路演，并采取现场答辩的方式进行评审。</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包括区块链或大数据教学、专业建设、就业创业的各个方面。如：新技术培训项目、研讨、考察、游学计划及成果展示、专业人才培养方案等，参赛人员可自主设计其他区块链、大数据教学相关内容。</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三、大赛时间</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本次大赛时间安排计划如下：</w:t>
      </w:r>
    </w:p>
    <w:p>
      <w:pPr>
        <w:pStyle w:val="2"/>
        <w:keepNext w:val="0"/>
        <w:keepLines w:val="0"/>
        <w:pageBreakBefore w:val="0"/>
        <w:kinsoku/>
        <w:wordWrap/>
        <w:overflowPunct/>
        <w:topLinePunct w:val="0"/>
        <w:bidi w:val="0"/>
        <w:spacing w:line="580" w:lineRule="exact"/>
        <w:ind w:left="0" w:firstLine="220"/>
        <w:textAlignment w:val="auto"/>
        <w:outlineLvl w:val="9"/>
      </w:pPr>
    </w:p>
    <w:tbl>
      <w:tblPr>
        <w:tblStyle w:val="7"/>
        <w:tblW w:w="81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9"/>
        <w:gridCol w:w="1918"/>
        <w:gridCol w:w="3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249" w:type="dxa"/>
            <w:shd w:val="clear" w:color="auto" w:fill="auto"/>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时间安排</w:t>
            </w:r>
          </w:p>
        </w:tc>
        <w:tc>
          <w:tcPr>
            <w:tcW w:w="1918" w:type="dxa"/>
            <w:shd w:val="clear" w:color="auto" w:fill="auto"/>
            <w:vAlign w:val="center"/>
          </w:tcPr>
          <w:p>
            <w:pPr>
              <w:keepNext w:val="0"/>
              <w:keepLines w:val="0"/>
              <w:pageBreakBefore w:val="0"/>
              <w:tabs>
                <w:tab w:val="center" w:pos="870"/>
                <w:tab w:val="right" w:pos="1769"/>
              </w:tabs>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环节</w:t>
            </w:r>
          </w:p>
        </w:tc>
        <w:tc>
          <w:tcPr>
            <w:tcW w:w="3965" w:type="dxa"/>
            <w:shd w:val="clear" w:color="auto" w:fill="auto"/>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jc w:val="center"/>
        </w:trPr>
        <w:tc>
          <w:tcPr>
            <w:tcW w:w="2249" w:type="dxa"/>
            <w:vMerge w:val="restart"/>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 xml:space="preserve"> 3月－ 4月</w:t>
            </w:r>
          </w:p>
        </w:tc>
        <w:tc>
          <w:tcPr>
            <w:tcW w:w="1918"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赛前宣讲</w:t>
            </w:r>
          </w:p>
        </w:tc>
        <w:tc>
          <w:tcPr>
            <w:tcW w:w="3965"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详见附件2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2249" w:type="dxa"/>
            <w:vMerge w:val="continue"/>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p>
        </w:tc>
        <w:tc>
          <w:tcPr>
            <w:tcW w:w="1918"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赛前培训</w:t>
            </w:r>
          </w:p>
        </w:tc>
        <w:tc>
          <w:tcPr>
            <w:tcW w:w="3965"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各院校自行组织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249" w:type="dxa"/>
            <w:vMerge w:val="continue"/>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p>
        </w:tc>
        <w:tc>
          <w:tcPr>
            <w:tcW w:w="1918"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校内选拔赛</w:t>
            </w:r>
          </w:p>
        </w:tc>
        <w:tc>
          <w:tcPr>
            <w:tcW w:w="3965"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各院校自行组织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2249"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5月</w:t>
            </w:r>
          </w:p>
        </w:tc>
        <w:tc>
          <w:tcPr>
            <w:tcW w:w="1918"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总决赛</w:t>
            </w:r>
          </w:p>
        </w:tc>
        <w:tc>
          <w:tcPr>
            <w:tcW w:w="3965" w:type="dxa"/>
            <w:vAlign w:val="center"/>
          </w:tcPr>
          <w:p>
            <w:pPr>
              <w:keepNext w:val="0"/>
              <w:keepLines w:val="0"/>
              <w:pageBreakBefore w:val="0"/>
              <w:kinsoku/>
              <w:wordWrap/>
              <w:overflowPunct/>
              <w:topLinePunct w:val="0"/>
              <w:bidi w:val="0"/>
              <w:spacing w:after="0" w:line="580" w:lineRule="exact"/>
              <w:ind w:left="0"/>
              <w:jc w:val="center"/>
              <w:textAlignment w:val="auto"/>
              <w:outlineLvl w:val="9"/>
              <w:rPr>
                <w:rFonts w:ascii="仿宋" w:hAnsi="仿宋" w:eastAsia="仿宋" w:cs="仿宋"/>
                <w:color w:val="000000"/>
                <w:w w:val="96"/>
                <w:sz w:val="32"/>
                <w:szCs w:val="32"/>
              </w:rPr>
            </w:pPr>
            <w:r>
              <w:rPr>
                <w:rFonts w:hint="eastAsia" w:ascii="仿宋" w:hAnsi="仿宋" w:eastAsia="仿宋" w:cs="仿宋"/>
                <w:color w:val="000000"/>
                <w:w w:val="96"/>
                <w:sz w:val="32"/>
                <w:szCs w:val="32"/>
              </w:rPr>
              <w:t>西北师范大学</w:t>
            </w:r>
          </w:p>
        </w:tc>
      </w:tr>
    </w:tbl>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四、参赛方式</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楷体" w:hAnsi="楷体" w:eastAsia="楷体" w:cs="仿宋"/>
          <w:kern w:val="2"/>
          <w:sz w:val="32"/>
          <w:szCs w:val="32"/>
        </w:rPr>
      </w:pPr>
      <w:r>
        <w:rPr>
          <w:rFonts w:hint="eastAsia" w:ascii="楷体" w:hAnsi="楷体" w:eastAsia="楷体" w:cs="仿宋"/>
          <w:kern w:val="2"/>
          <w:sz w:val="32"/>
          <w:szCs w:val="32"/>
        </w:rPr>
        <w:t>（一）区块链应用人才就业创业（学生赛道）</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1.大赛以团体赛方式进行。每支参赛队4名选手，可以跨专业组队，建议计算机、金融、会计及相关专业学生参赛。</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2.大赛队伍组成：校内赛由各学校进行，推选队伍参加省赛。不得跨校组队。指导教师须为本校专兼职教师，每队限报1名指导教师。</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3.参赛选手和指导教师报名获得确认后不得随意更换。参赛选手和指导教师因故无法参赛，视为弃赛。竞赛开始后，参赛队不得更换参赛队员。</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楷体" w:hAnsi="楷体" w:eastAsia="楷体" w:cs="仿宋"/>
          <w:kern w:val="2"/>
          <w:sz w:val="32"/>
          <w:szCs w:val="32"/>
        </w:rPr>
      </w:pPr>
      <w:r>
        <w:rPr>
          <w:rFonts w:hint="eastAsia" w:ascii="楷体" w:hAnsi="楷体" w:eastAsia="楷体" w:cs="仿宋"/>
          <w:kern w:val="2"/>
          <w:sz w:val="32"/>
          <w:szCs w:val="32"/>
        </w:rPr>
        <w:t>（二）区块链技术应用就业项目（项目赛道）</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1.大赛以团体赛方式进行，参赛人员为参赛校工作人员、专职教师、在校学生等，每个项目组成员（含项目负责人）不超过 9 人。</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2.参赛队伍组成：作为负责人只能申报 1 个项目，其中在校学生参与人数不少于三分之一，鼓励就业创业工作人员和一线教师作为项目负责人。</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3.项目包含但不限于区块链、大数据培训项目、研讨、考察、游学计划及成果展示、专业人才培养方案等。</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4.评审方式：网络评审+路演答辩的方式进行评审。</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5.参赛选手和指导教师报名获得确认后不得随意更换。参赛选手和指导教师因故无法参赛，视为弃赛。竞赛开始后，参赛队不得更换参赛队员。</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五、评分规则</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楷体" w:hAnsi="楷体" w:eastAsia="楷体" w:cs="仿宋"/>
          <w:kern w:val="2"/>
          <w:sz w:val="32"/>
          <w:szCs w:val="32"/>
        </w:rPr>
      </w:pPr>
      <w:r>
        <w:rPr>
          <w:rFonts w:hint="eastAsia" w:ascii="楷体" w:hAnsi="楷体" w:eastAsia="楷体" w:cs="仿宋"/>
          <w:kern w:val="2"/>
          <w:sz w:val="32"/>
          <w:szCs w:val="32"/>
        </w:rPr>
        <w:t>（一）区块链应用人才就业创业（学生赛道）</w:t>
      </w:r>
    </w:p>
    <w:p>
      <w:pPr>
        <w:keepNext w:val="0"/>
        <w:keepLines w:val="0"/>
        <w:pageBreakBefore w:val="0"/>
        <w:widowControl w:val="0"/>
        <w:kinsoku/>
        <w:wordWrap/>
        <w:overflowPunct/>
        <w:topLinePunct w:val="0"/>
        <w:bidi w:val="0"/>
        <w:adjustRightInd/>
        <w:snapToGrid/>
        <w:spacing w:after="0" w:line="580" w:lineRule="exact"/>
        <w:ind w:left="0" w:firstLine="643" w:firstLineChars="20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1.区块链技术部分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区块链基础知识</w:t>
      </w:r>
    </w:p>
    <w:tbl>
      <w:tblPr>
        <w:tblStyle w:val="7"/>
        <w:tblpPr w:leftFromText="180" w:rightFromText="180" w:vertAnchor="text" w:horzAnchor="page" w:tblpXSpec="center" w:tblpY="571"/>
        <w:tblOverlap w:val="never"/>
        <w:tblW w:w="81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3946"/>
        <w:gridCol w:w="586"/>
        <w:gridCol w:w="941"/>
        <w:gridCol w:w="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jc w:val="center"/>
        </w:trPr>
        <w:tc>
          <w:tcPr>
            <w:tcW w:w="1662"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评分项目</w:t>
            </w:r>
          </w:p>
        </w:tc>
        <w:tc>
          <w:tcPr>
            <w:tcW w:w="3946"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评分内容</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分值</w:t>
            </w:r>
          </w:p>
        </w:tc>
        <w:tc>
          <w:tcPr>
            <w:tcW w:w="941"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总分值</w:t>
            </w:r>
          </w:p>
        </w:tc>
        <w:tc>
          <w:tcPr>
            <w:tcW w:w="982"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66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区块链的发展历史</w:t>
            </w:r>
          </w:p>
        </w:tc>
        <w:tc>
          <w:tcPr>
            <w:tcW w:w="394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1、区块链1.0</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2、区块链2.0</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3、区块链3.0</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20</w:t>
            </w:r>
          </w:p>
        </w:tc>
        <w:tc>
          <w:tcPr>
            <w:tcW w:w="941" w:type="dxa"/>
            <w:vMerge w:val="restart"/>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100分</w:t>
            </w:r>
          </w:p>
        </w:tc>
        <w:tc>
          <w:tcPr>
            <w:tcW w:w="98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166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区块链技术原理</w:t>
            </w:r>
          </w:p>
        </w:tc>
        <w:tc>
          <w:tcPr>
            <w:tcW w:w="394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1、加密算法</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2、共识机制</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3、区块</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4、账本</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5、链式结构</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25</w:t>
            </w:r>
          </w:p>
        </w:tc>
        <w:tc>
          <w:tcPr>
            <w:tcW w:w="941" w:type="dxa"/>
            <w:vMerge w:val="continue"/>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98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4" w:hRule="atLeast"/>
          <w:jc w:val="center"/>
        </w:trPr>
        <w:tc>
          <w:tcPr>
            <w:tcW w:w="166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区块链架构</w:t>
            </w:r>
          </w:p>
        </w:tc>
        <w:tc>
          <w:tcPr>
            <w:tcW w:w="394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1、数据层</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2、合约层</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3、共识层</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4、网络层</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5、应用层</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6、激励层</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25</w:t>
            </w:r>
          </w:p>
        </w:tc>
        <w:tc>
          <w:tcPr>
            <w:tcW w:w="941" w:type="dxa"/>
            <w:vMerge w:val="continue"/>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98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166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区块链应用</w:t>
            </w:r>
          </w:p>
        </w:tc>
        <w:tc>
          <w:tcPr>
            <w:tcW w:w="394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1、应用场景</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2、应用方式</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3、应用优势</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15</w:t>
            </w:r>
          </w:p>
        </w:tc>
        <w:tc>
          <w:tcPr>
            <w:tcW w:w="941" w:type="dxa"/>
            <w:vMerge w:val="continue"/>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98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jc w:val="center"/>
        </w:trPr>
        <w:tc>
          <w:tcPr>
            <w:tcW w:w="166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区块链价值</w:t>
            </w:r>
          </w:p>
        </w:tc>
        <w:tc>
          <w:tcPr>
            <w:tcW w:w="394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1、社会价值</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2、经济价值</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3、应用价值</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15</w:t>
            </w:r>
          </w:p>
        </w:tc>
        <w:tc>
          <w:tcPr>
            <w:tcW w:w="941" w:type="dxa"/>
            <w:vMerge w:val="continue"/>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982" w:type="dxa"/>
            <w:shd w:val="clear" w:color="auto" w:fill="auto"/>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bl>
    <w:p>
      <w:pPr>
        <w:keepNext w:val="0"/>
        <w:keepLines w:val="0"/>
        <w:pageBreakBefore w:val="0"/>
        <w:kinsoku/>
        <w:wordWrap/>
        <w:overflowPunct/>
        <w:topLinePunct w:val="0"/>
        <w:bidi w:val="0"/>
        <w:spacing w:line="580" w:lineRule="exact"/>
        <w:ind w:left="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rPr>
        <w:t>区块链技术应用</w:t>
      </w:r>
    </w:p>
    <w:tbl>
      <w:tblPr>
        <w:tblStyle w:val="7"/>
        <w:tblW w:w="817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5"/>
        <w:gridCol w:w="3973"/>
        <w:gridCol w:w="586"/>
        <w:gridCol w:w="934"/>
        <w:gridCol w:w="10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5" w:hRule="atLeast"/>
          <w:jc w:val="center"/>
        </w:trPr>
        <w:tc>
          <w:tcPr>
            <w:tcW w:w="1665"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评分项目</w:t>
            </w:r>
          </w:p>
        </w:tc>
        <w:tc>
          <w:tcPr>
            <w:tcW w:w="3973"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评分内容</w:t>
            </w:r>
          </w:p>
        </w:tc>
        <w:tc>
          <w:tcPr>
            <w:tcW w:w="586"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分值</w:t>
            </w:r>
          </w:p>
        </w:tc>
        <w:tc>
          <w:tcPr>
            <w:tcW w:w="934"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总分值</w:t>
            </w:r>
          </w:p>
        </w:tc>
        <w:tc>
          <w:tcPr>
            <w:tcW w:w="1019"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44" w:hRule="atLeast"/>
          <w:jc w:val="center"/>
        </w:trPr>
        <w:tc>
          <w:tcPr>
            <w:tcW w:w="1665"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组建联盟链通道的能力</w:t>
            </w:r>
          </w:p>
        </w:tc>
        <w:tc>
          <w:tcPr>
            <w:tcW w:w="3973"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1、通道的基本配置</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2、创世区块的配置</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3、组织与通道的关联配置</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4、排序服务与通道的关联配置</w:t>
            </w:r>
          </w:p>
        </w:tc>
        <w:tc>
          <w:tcPr>
            <w:tcW w:w="586"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w:t>
            </w:r>
          </w:p>
        </w:tc>
        <w:tc>
          <w:tcPr>
            <w:tcW w:w="934" w:type="dxa"/>
            <w:vMerge w:val="restart"/>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100分</w:t>
            </w:r>
          </w:p>
        </w:tc>
        <w:tc>
          <w:tcPr>
            <w:tcW w:w="1019"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53" w:hRule="atLeast"/>
          <w:jc w:val="center"/>
        </w:trPr>
        <w:tc>
          <w:tcPr>
            <w:tcW w:w="1665"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链上业务环境构建能力</w:t>
            </w:r>
          </w:p>
        </w:tc>
        <w:tc>
          <w:tcPr>
            <w:tcW w:w="3973"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1、组织的创建</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2、组织客户端与管理员的创建</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3、组织身份认证</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4、业务通道</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5、组织节点</w:t>
            </w:r>
          </w:p>
        </w:tc>
        <w:tc>
          <w:tcPr>
            <w:tcW w:w="586"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20</w:t>
            </w:r>
          </w:p>
        </w:tc>
        <w:tc>
          <w:tcPr>
            <w:tcW w:w="934" w:type="dxa"/>
            <w:vMerge w:val="continue"/>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1019"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36" w:hRule="atLeast"/>
          <w:jc w:val="center"/>
        </w:trPr>
        <w:tc>
          <w:tcPr>
            <w:tcW w:w="1665"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链上协议与数据流融合能力</w:t>
            </w:r>
          </w:p>
        </w:tc>
        <w:tc>
          <w:tcPr>
            <w:tcW w:w="3973"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1、区块链协议</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2、数据世界状态</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3、Broadcast</w:t>
            </w:r>
          </w:p>
        </w:tc>
        <w:tc>
          <w:tcPr>
            <w:tcW w:w="586"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10</w:t>
            </w:r>
          </w:p>
        </w:tc>
        <w:tc>
          <w:tcPr>
            <w:tcW w:w="934" w:type="dxa"/>
            <w:vMerge w:val="continue"/>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1019"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36" w:hRule="atLeast"/>
          <w:jc w:val="center"/>
        </w:trPr>
        <w:tc>
          <w:tcPr>
            <w:tcW w:w="1665"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共识机制集群构建能力</w:t>
            </w:r>
          </w:p>
        </w:tc>
        <w:tc>
          <w:tcPr>
            <w:tcW w:w="3973"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1、排序服务</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2、排序节点</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3、Kafak</w:t>
            </w:r>
          </w:p>
        </w:tc>
        <w:tc>
          <w:tcPr>
            <w:tcW w:w="586"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10</w:t>
            </w:r>
          </w:p>
        </w:tc>
        <w:tc>
          <w:tcPr>
            <w:tcW w:w="934" w:type="dxa"/>
            <w:vMerge w:val="continue"/>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1019"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61" w:hRule="atLeast"/>
          <w:jc w:val="center"/>
        </w:trPr>
        <w:tc>
          <w:tcPr>
            <w:tcW w:w="1665"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链码编写部署能力</w:t>
            </w:r>
          </w:p>
        </w:tc>
        <w:tc>
          <w:tcPr>
            <w:tcW w:w="3973"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1、系统链码</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2、用户链码</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3、链码编写</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4、链码部署</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5、链码实例化</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6、链码初识化</w:t>
            </w:r>
          </w:p>
        </w:tc>
        <w:tc>
          <w:tcPr>
            <w:tcW w:w="586"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30</w:t>
            </w:r>
          </w:p>
        </w:tc>
        <w:tc>
          <w:tcPr>
            <w:tcW w:w="934" w:type="dxa"/>
            <w:vMerge w:val="continue"/>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1019"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37" w:hRule="atLeast"/>
          <w:jc w:val="center"/>
        </w:trPr>
        <w:tc>
          <w:tcPr>
            <w:tcW w:w="1665"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联盟链金融应用部署能力</w:t>
            </w:r>
          </w:p>
        </w:tc>
        <w:tc>
          <w:tcPr>
            <w:tcW w:w="3973"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1、交易案例的部署</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2、金融典型案例的运行部署</w:t>
            </w:r>
          </w:p>
        </w:tc>
        <w:tc>
          <w:tcPr>
            <w:tcW w:w="586"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20</w:t>
            </w:r>
          </w:p>
        </w:tc>
        <w:tc>
          <w:tcPr>
            <w:tcW w:w="934" w:type="dxa"/>
            <w:vMerge w:val="continue"/>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p>
        </w:tc>
        <w:tc>
          <w:tcPr>
            <w:tcW w:w="1019"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bl>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br w:type="page"/>
      </w:r>
    </w:p>
    <w:p>
      <w:pPr>
        <w:keepNext w:val="0"/>
        <w:keepLines w:val="0"/>
        <w:pageBreakBefore w:val="0"/>
        <w:kinsoku/>
        <w:wordWrap/>
        <w:overflowPunct/>
        <w:topLinePunct w:val="0"/>
        <w:bidi w:val="0"/>
        <w:spacing w:line="580" w:lineRule="exact"/>
        <w:ind w:left="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rPr>
        <w:t>区块链金融应用</w:t>
      </w:r>
    </w:p>
    <w:tbl>
      <w:tblPr>
        <w:tblStyle w:val="7"/>
        <w:tblW w:w="817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0"/>
        <w:gridCol w:w="3938"/>
        <w:gridCol w:w="620"/>
        <w:gridCol w:w="930"/>
        <w:gridCol w:w="1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0" w:hRule="atLeast"/>
          <w:jc w:val="center"/>
        </w:trPr>
        <w:tc>
          <w:tcPr>
            <w:tcW w:w="1670"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评分项目</w:t>
            </w:r>
          </w:p>
        </w:tc>
        <w:tc>
          <w:tcPr>
            <w:tcW w:w="3938"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评分内容</w:t>
            </w:r>
          </w:p>
        </w:tc>
        <w:tc>
          <w:tcPr>
            <w:tcW w:w="620"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分值</w:t>
            </w:r>
          </w:p>
        </w:tc>
        <w:tc>
          <w:tcPr>
            <w:tcW w:w="930"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总分值</w:t>
            </w:r>
          </w:p>
        </w:tc>
        <w:tc>
          <w:tcPr>
            <w:tcW w:w="1020" w:type="dxa"/>
            <w:shd w:val="clear" w:color="auto" w:fill="auto"/>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5" w:hRule="atLeast"/>
          <w:jc w:val="center"/>
        </w:trPr>
        <w:tc>
          <w:tcPr>
            <w:tcW w:w="167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跨境电商订单采购业务</w:t>
            </w:r>
          </w:p>
        </w:tc>
        <w:tc>
          <w:tcPr>
            <w:tcW w:w="3938"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1、采购订单</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2、技术选型</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3、合约规则设计</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4、合约部署</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5、数据上链</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6、合约调用结算订单</w:t>
            </w:r>
          </w:p>
        </w:tc>
        <w:tc>
          <w:tcPr>
            <w:tcW w:w="6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25分</w:t>
            </w:r>
          </w:p>
        </w:tc>
        <w:tc>
          <w:tcPr>
            <w:tcW w:w="930" w:type="dxa"/>
            <w:vMerge w:val="restart"/>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100分</w:t>
            </w:r>
          </w:p>
        </w:tc>
        <w:tc>
          <w:tcPr>
            <w:tcW w:w="10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5" w:hRule="atLeast"/>
          <w:jc w:val="center"/>
        </w:trPr>
        <w:tc>
          <w:tcPr>
            <w:tcW w:w="167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供应商订单销售与融资业务</w:t>
            </w:r>
          </w:p>
        </w:tc>
        <w:tc>
          <w:tcPr>
            <w:tcW w:w="3938"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1、确认订单</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2、原材料采购、生产、发货</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3、数据上链</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4、融资申请书</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5、融资款确认</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6、合约调用接收尾款</w:t>
            </w:r>
          </w:p>
        </w:tc>
        <w:tc>
          <w:tcPr>
            <w:tcW w:w="6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25分</w:t>
            </w:r>
          </w:p>
        </w:tc>
        <w:tc>
          <w:tcPr>
            <w:tcW w:w="930" w:type="dxa"/>
            <w:vMerge w:val="continue"/>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10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8" w:hRule="atLeast"/>
          <w:jc w:val="center"/>
        </w:trPr>
        <w:tc>
          <w:tcPr>
            <w:tcW w:w="167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保理公司融资业务</w:t>
            </w:r>
          </w:p>
        </w:tc>
        <w:tc>
          <w:tcPr>
            <w:tcW w:w="3938"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1、获取融资申请书</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2、数据可信调查</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3、合约规则设计</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4、合约调用发放融资款</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5、授信额度状态变更</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6、合约调用接收回款</w:t>
            </w:r>
          </w:p>
        </w:tc>
        <w:tc>
          <w:tcPr>
            <w:tcW w:w="6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25分</w:t>
            </w:r>
          </w:p>
        </w:tc>
        <w:tc>
          <w:tcPr>
            <w:tcW w:w="930" w:type="dxa"/>
            <w:vMerge w:val="continue"/>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10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 w:hRule="atLeast"/>
          <w:jc w:val="center"/>
        </w:trPr>
        <w:tc>
          <w:tcPr>
            <w:tcW w:w="167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境外支付机构咨询与换汇结算业务</w:t>
            </w:r>
          </w:p>
        </w:tc>
        <w:tc>
          <w:tcPr>
            <w:tcW w:w="3938" w:type="dxa"/>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1、订单信息查询</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2、授信额度查询</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3、合约规则设计</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4、数据定向发送</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5、换汇结算</w:t>
            </w:r>
          </w:p>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6、授信额度状态变更</w:t>
            </w:r>
          </w:p>
        </w:tc>
        <w:tc>
          <w:tcPr>
            <w:tcW w:w="6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25分</w:t>
            </w:r>
          </w:p>
        </w:tc>
        <w:tc>
          <w:tcPr>
            <w:tcW w:w="930" w:type="dxa"/>
            <w:vMerge w:val="continue"/>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1020" w:type="dxa"/>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系统评分</w:t>
            </w:r>
          </w:p>
        </w:tc>
      </w:tr>
    </w:tbl>
    <w:p>
      <w:pPr>
        <w:keepNext w:val="0"/>
        <w:keepLines w:val="0"/>
        <w:pageBreakBefore w:val="0"/>
        <w:widowControl w:val="0"/>
        <w:kinsoku/>
        <w:wordWrap/>
        <w:overflowPunct/>
        <w:topLinePunct w:val="0"/>
        <w:bidi w:val="0"/>
        <w:adjustRightInd/>
        <w:snapToGrid/>
        <w:spacing w:after="0" w:line="580" w:lineRule="exact"/>
        <w:ind w:left="0" w:firstLine="643" w:firstLineChars="20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2.大数据技术部分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评分方式为系统自动评分。每名参赛选手按 100 分制计分，每支参赛队按四人总成绩计分。最终成绩经复核无误， 由裁判长、监督人员和仲裁人员签字确认后公布。所有的评分表、成绩汇总表备案以供核查，最终的成绩由裁判长进行审核确认并上报大赛组委会。</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bookmarkStart w:id="0" w:name="1、运营分析专员-DMP"/>
      <w:bookmarkEnd w:id="0"/>
      <w:r>
        <w:rPr>
          <w:rFonts w:hint="eastAsia" w:ascii="仿宋" w:hAnsi="仿宋" w:eastAsia="仿宋" w:cs="仿宋"/>
          <w:kern w:val="2"/>
          <w:sz w:val="32"/>
          <w:szCs w:val="32"/>
        </w:rPr>
        <w:t>分析专员－DMP。该岗位共设2名参赛选手，每名选手试题满分 100 分，包含 4 项工作任务，每项工作任务 25 分。岗位任务涉及财务、运营、客户、行业分析，具体内容以最终竞赛题为准。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bookmarkStart w:id="1" w:name="2、客户分析专员-DMP"/>
      <w:bookmarkEnd w:id="1"/>
      <w:r>
        <w:rPr>
          <w:rFonts w:hint="eastAsia" w:ascii="仿宋" w:hAnsi="仿宋" w:eastAsia="仿宋" w:cs="仿宋"/>
          <w:kern w:val="2"/>
          <w:sz w:val="32"/>
          <w:szCs w:val="32"/>
        </w:rPr>
        <w:t>分析专员－BA：该岗位共设2名参赛选手，每名选手试题满分 100 分，包含 5 项工作任务，每项工作任务 20 分。岗位任务涉及财务、运营、客户、行业分析，具体内容以最终竞赛题为准。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团队总分：4名选手竞赛得分合计为团队成绩，总分400分，竞赛以团队总分判定最终排名。</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bookmarkStart w:id="2" w:name="4、客户分析专员-BA"/>
      <w:bookmarkEnd w:id="2"/>
      <w:bookmarkStart w:id="3" w:name="二、公共规则"/>
      <w:bookmarkEnd w:id="3"/>
      <w:r>
        <w:rPr>
          <w:rFonts w:hint="eastAsia" w:ascii="仿宋" w:hAnsi="仿宋" w:eastAsia="仿宋" w:cs="仿宋"/>
          <w:kern w:val="2"/>
          <w:sz w:val="32"/>
          <w:szCs w:val="32"/>
        </w:rPr>
        <w:t>评分规则：</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bookmarkStart w:id="4" w:name="1、命名规则"/>
      <w:bookmarkEnd w:id="4"/>
      <w:r>
        <w:rPr>
          <w:rFonts w:hint="eastAsia" w:ascii="仿宋" w:hAnsi="仿宋" w:eastAsia="仿宋" w:cs="仿宋"/>
          <w:kern w:val="2"/>
          <w:sz w:val="32"/>
          <w:szCs w:val="32"/>
        </w:rPr>
        <w:t>（1）命名规则</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在进行路径建立时，考生需要对标题、代号、数据库表等进行命名，需按以下规则命名，未按规定命名不得分，且影响后续题目得分。</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bookmarkStart w:id="5" w:name="1.1创建表命名规则"/>
      <w:bookmarkEnd w:id="5"/>
      <w:r>
        <w:rPr>
          <w:rFonts w:hint="eastAsia" w:ascii="仿宋" w:hAnsi="仿宋" w:eastAsia="仿宋" w:cs="仿宋"/>
          <w:kern w:val="2"/>
          <w:sz w:val="32"/>
          <w:szCs w:val="32"/>
        </w:rPr>
        <w:t>创建表命名规则：“标题/简称”的命名规则为“考号+名称”，“代号”的命名规则为“考号+首字母缩写”，“数据库表”的命名规则为“考号+首字母缩写_分层名称”。</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以下题为例：</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在 DMP“数据加工厂_设计区_工厂分层_ODS 操作数据”路径下创建主题域、主题及数据模型， 通过“创建自定义模型（全部字段需要手动定义）”方式创建。</w:t>
      </w:r>
    </w:p>
    <w:tbl>
      <w:tblPr>
        <w:tblStyle w:val="7"/>
        <w:tblW w:w="84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3"/>
        <w:gridCol w:w="2792"/>
        <w:gridCol w:w="2632"/>
        <w:gridCol w:w="12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9" w:hRule="atLeast"/>
          <w:jc w:val="center"/>
        </w:trPr>
        <w:tc>
          <w:tcPr>
            <w:tcW w:w="173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路径</w:t>
            </w:r>
          </w:p>
        </w:tc>
        <w:tc>
          <w:tcPr>
            <w:tcW w:w="279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标题/简称</w:t>
            </w:r>
          </w:p>
        </w:tc>
        <w:tc>
          <w:tcPr>
            <w:tcW w:w="263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数据源连接</w:t>
            </w:r>
          </w:p>
        </w:tc>
        <w:tc>
          <w:tcPr>
            <w:tcW w:w="126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jc w:val="center"/>
        </w:trPr>
        <w:tc>
          <w:tcPr>
            <w:tcW w:w="173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主题域</w:t>
            </w:r>
          </w:p>
        </w:tc>
        <w:tc>
          <w:tcPr>
            <w:tcW w:w="279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财务</w:t>
            </w:r>
          </w:p>
        </w:tc>
        <w:tc>
          <w:tcPr>
            <w:tcW w:w="263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默认数据源连接</w:t>
            </w:r>
          </w:p>
        </w:tc>
        <w:tc>
          <w:tcPr>
            <w:tcW w:w="126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不填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2" w:hRule="atLeast"/>
          <w:jc w:val="center"/>
        </w:trPr>
        <w:tc>
          <w:tcPr>
            <w:tcW w:w="173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主题</w:t>
            </w:r>
          </w:p>
        </w:tc>
        <w:tc>
          <w:tcPr>
            <w:tcW w:w="279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现金流量</w:t>
            </w:r>
          </w:p>
        </w:tc>
        <w:tc>
          <w:tcPr>
            <w:tcW w:w="263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默认数据源连接</w:t>
            </w:r>
          </w:p>
        </w:tc>
        <w:tc>
          <w:tcPr>
            <w:tcW w:w="126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不填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jc w:val="center"/>
        </w:trPr>
        <w:tc>
          <w:tcPr>
            <w:tcW w:w="173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模型管理</w:t>
            </w:r>
          </w:p>
        </w:tc>
        <w:tc>
          <w:tcPr>
            <w:tcW w:w="279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现金流量简表</w:t>
            </w:r>
          </w:p>
        </w:tc>
        <w:tc>
          <w:tcPr>
            <w:tcW w:w="263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w w:val="99"/>
                <w:sz w:val="32"/>
                <w:szCs w:val="32"/>
              </w:rPr>
              <w:t>/</w:t>
            </w:r>
          </w:p>
        </w:tc>
        <w:tc>
          <w:tcPr>
            <w:tcW w:w="126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不填</w:t>
            </w:r>
          </w:p>
        </w:tc>
      </w:tr>
    </w:tbl>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如考生考号为KS011，则上述路径实际命名如下：</w:t>
      </w:r>
    </w:p>
    <w:tbl>
      <w:tblPr>
        <w:tblStyle w:val="7"/>
        <w:tblW w:w="843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2"/>
        <w:gridCol w:w="1784"/>
        <w:gridCol w:w="1466"/>
        <w:gridCol w:w="1417"/>
        <w:gridCol w:w="1150"/>
        <w:gridCol w:w="12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42" w:hRule="atLeast"/>
          <w:jc w:val="center"/>
        </w:trPr>
        <w:tc>
          <w:tcPr>
            <w:tcW w:w="138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bookmarkStart w:id="6" w:name="1.2数据转换命名规则"/>
            <w:bookmarkEnd w:id="6"/>
            <w:r>
              <w:rPr>
                <w:rFonts w:hint="eastAsia" w:ascii="仿宋" w:hAnsi="仿宋" w:eastAsia="仿宋" w:cs="仿宋"/>
                <w:sz w:val="32"/>
                <w:szCs w:val="32"/>
              </w:rPr>
              <w:t>路径</w:t>
            </w:r>
          </w:p>
        </w:tc>
        <w:tc>
          <w:tcPr>
            <w:tcW w:w="1784"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标题/简称</w:t>
            </w:r>
          </w:p>
        </w:tc>
        <w:tc>
          <w:tcPr>
            <w:tcW w:w="146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代号</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数据源连接</w:t>
            </w:r>
          </w:p>
        </w:tc>
        <w:tc>
          <w:tcPr>
            <w:tcW w:w="1150"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描述</w:t>
            </w:r>
          </w:p>
        </w:tc>
        <w:tc>
          <w:tcPr>
            <w:tcW w:w="123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数据库表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7" w:hRule="atLeast"/>
          <w:jc w:val="center"/>
        </w:trPr>
        <w:tc>
          <w:tcPr>
            <w:tcW w:w="138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主题域</w:t>
            </w:r>
          </w:p>
        </w:tc>
        <w:tc>
          <w:tcPr>
            <w:tcW w:w="1784"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财务</w:t>
            </w:r>
          </w:p>
        </w:tc>
        <w:tc>
          <w:tcPr>
            <w:tcW w:w="146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KS011CW</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默认数据源连接</w:t>
            </w:r>
          </w:p>
        </w:tc>
        <w:tc>
          <w:tcPr>
            <w:tcW w:w="1150"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不填</w:t>
            </w:r>
          </w:p>
        </w:tc>
        <w:tc>
          <w:tcPr>
            <w:tcW w:w="123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w w:val="99"/>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7" w:hRule="atLeast"/>
          <w:jc w:val="center"/>
        </w:trPr>
        <w:tc>
          <w:tcPr>
            <w:tcW w:w="138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主题</w:t>
            </w:r>
          </w:p>
        </w:tc>
        <w:tc>
          <w:tcPr>
            <w:tcW w:w="1784"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现金流量</w:t>
            </w:r>
          </w:p>
        </w:tc>
        <w:tc>
          <w:tcPr>
            <w:tcW w:w="146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KS011XJLL</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默认数据源连接</w:t>
            </w:r>
          </w:p>
        </w:tc>
        <w:tc>
          <w:tcPr>
            <w:tcW w:w="1150"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不填</w:t>
            </w:r>
          </w:p>
        </w:tc>
        <w:tc>
          <w:tcPr>
            <w:tcW w:w="123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w w:val="99"/>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5" w:hRule="atLeast"/>
          <w:jc w:val="center"/>
        </w:trPr>
        <w:tc>
          <w:tcPr>
            <w:tcW w:w="138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模型管理</w:t>
            </w:r>
          </w:p>
        </w:tc>
        <w:tc>
          <w:tcPr>
            <w:tcW w:w="1784"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现金流量</w:t>
            </w: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简</w:t>
            </w:r>
            <w:r>
              <w:rPr>
                <w:rFonts w:hint="eastAsia" w:ascii="仿宋" w:hAnsi="仿宋" w:eastAsia="仿宋" w:cs="仿宋"/>
                <w:w w:val="99"/>
                <w:sz w:val="32"/>
                <w:szCs w:val="32"/>
              </w:rPr>
              <w:t>表</w:t>
            </w:r>
          </w:p>
        </w:tc>
        <w:tc>
          <w:tcPr>
            <w:tcW w:w="146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KS011XJLLJB</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w w:val="99"/>
                <w:sz w:val="32"/>
                <w:szCs w:val="32"/>
              </w:rPr>
              <w:t>/</w:t>
            </w:r>
          </w:p>
        </w:tc>
        <w:tc>
          <w:tcPr>
            <w:tcW w:w="1150"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不填</w:t>
            </w:r>
          </w:p>
        </w:tc>
        <w:tc>
          <w:tcPr>
            <w:tcW w:w="1236"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KS011XJLLJB_ODS</w:t>
            </w:r>
          </w:p>
        </w:tc>
      </w:tr>
    </w:tbl>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数据转换命名规则：“转换标题”的命名规则为“考号+名称+ETL”，“转换代号”的命名规则为“考号+首字母缩写+ETL”。以下题为例：</w:t>
      </w:r>
    </w:p>
    <w:p>
      <w:pPr>
        <w:pStyle w:val="2"/>
        <w:keepNext w:val="0"/>
        <w:keepLines w:val="0"/>
        <w:pageBreakBefore w:val="0"/>
        <w:kinsoku/>
        <w:wordWrap/>
        <w:overflowPunct/>
        <w:topLinePunct w:val="0"/>
        <w:bidi w:val="0"/>
        <w:spacing w:line="580" w:lineRule="exact"/>
        <w:ind w:left="0" w:firstLine="220"/>
        <w:textAlignment w:val="auto"/>
        <w:outlineLvl w:val="9"/>
      </w:pPr>
    </w:p>
    <w:tbl>
      <w:tblPr>
        <w:tblStyle w:val="7"/>
        <w:tblW w:w="836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3"/>
        <w:gridCol w:w="58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1" w:hRule="atLeast"/>
          <w:jc w:val="center"/>
        </w:trPr>
        <w:tc>
          <w:tcPr>
            <w:tcW w:w="249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路径</w:t>
            </w:r>
          </w:p>
        </w:tc>
        <w:tc>
          <w:tcPr>
            <w:tcW w:w="586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转换标题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9" w:hRule="atLeast"/>
          <w:jc w:val="center"/>
        </w:trPr>
        <w:tc>
          <w:tcPr>
            <w:tcW w:w="249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ETL 转换</w:t>
            </w:r>
          </w:p>
        </w:tc>
        <w:tc>
          <w:tcPr>
            <w:tcW w:w="586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客户年龄维表ETL</w:t>
            </w:r>
          </w:p>
        </w:tc>
      </w:tr>
    </w:tbl>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如考生考号为KS011，则上述路径实际命名如下：</w:t>
      </w:r>
    </w:p>
    <w:p>
      <w:pPr>
        <w:pStyle w:val="2"/>
        <w:keepNext w:val="0"/>
        <w:keepLines w:val="0"/>
        <w:pageBreakBefore w:val="0"/>
        <w:kinsoku/>
        <w:wordWrap/>
        <w:overflowPunct/>
        <w:topLinePunct w:val="0"/>
        <w:bidi w:val="0"/>
        <w:spacing w:line="580" w:lineRule="exact"/>
        <w:ind w:left="0" w:firstLine="220"/>
        <w:textAlignment w:val="auto"/>
        <w:outlineLvl w:val="9"/>
      </w:pPr>
    </w:p>
    <w:tbl>
      <w:tblPr>
        <w:tblStyle w:val="7"/>
        <w:tblW w:w="84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9"/>
        <w:gridCol w:w="2983"/>
        <w:gridCol w:w="1901"/>
        <w:gridCol w:w="22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8" w:hRule="atLeast"/>
          <w:jc w:val="center"/>
        </w:trPr>
        <w:tc>
          <w:tcPr>
            <w:tcW w:w="1239"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bookmarkStart w:id="7" w:name="1.3数据集定义命名规则"/>
            <w:bookmarkEnd w:id="7"/>
            <w:r>
              <w:rPr>
                <w:rFonts w:hint="eastAsia" w:ascii="仿宋" w:hAnsi="仿宋" w:eastAsia="仿宋" w:cs="仿宋"/>
                <w:sz w:val="32"/>
                <w:szCs w:val="32"/>
              </w:rPr>
              <w:t>路径</w:t>
            </w:r>
          </w:p>
        </w:tc>
        <w:tc>
          <w:tcPr>
            <w:tcW w:w="298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转换标题</w:t>
            </w:r>
          </w:p>
        </w:tc>
        <w:tc>
          <w:tcPr>
            <w:tcW w:w="190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转换代号</w:t>
            </w:r>
          </w:p>
        </w:tc>
        <w:tc>
          <w:tcPr>
            <w:tcW w:w="228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8" w:hRule="atLeast"/>
          <w:jc w:val="center"/>
        </w:trPr>
        <w:tc>
          <w:tcPr>
            <w:tcW w:w="1239"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ETL 转换</w:t>
            </w:r>
          </w:p>
        </w:tc>
        <w:tc>
          <w:tcPr>
            <w:tcW w:w="298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客户年龄维表ETL</w:t>
            </w:r>
          </w:p>
        </w:tc>
        <w:tc>
          <w:tcPr>
            <w:tcW w:w="190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KS011KHNLWBETL</w:t>
            </w:r>
          </w:p>
        </w:tc>
        <w:tc>
          <w:tcPr>
            <w:tcW w:w="2281"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w:t>
            </w:r>
          </w:p>
        </w:tc>
      </w:tr>
    </w:tbl>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数据集定义命名规则：“名称”的命名规则为“考号+名称，”“编号”的命名规则为“考号+首字母缩写”。以下题为例：</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在“商务智能—仪表盘”模块选择“数据集定义”，完成下列路径要求的建立。</w:t>
      </w:r>
    </w:p>
    <w:p>
      <w:pPr>
        <w:pStyle w:val="2"/>
        <w:keepNext w:val="0"/>
        <w:keepLines w:val="0"/>
        <w:pageBreakBefore w:val="0"/>
        <w:kinsoku/>
        <w:wordWrap/>
        <w:overflowPunct/>
        <w:topLinePunct w:val="0"/>
        <w:bidi w:val="0"/>
        <w:spacing w:line="580" w:lineRule="exact"/>
        <w:ind w:left="0" w:firstLine="220"/>
        <w:textAlignment w:val="auto"/>
        <w:outlineLvl w:val="9"/>
      </w:pPr>
    </w:p>
    <w:tbl>
      <w:tblPr>
        <w:tblStyle w:val="7"/>
        <w:tblW w:w="838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5"/>
        <w:gridCol w:w="16"/>
        <w:gridCol w:w="62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jc w:val="center"/>
        </w:trPr>
        <w:tc>
          <w:tcPr>
            <w:tcW w:w="214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lang w:val="en-US"/>
              </w:rPr>
            </w:pPr>
            <w:r>
              <w:rPr>
                <w:rFonts w:hint="eastAsia" w:ascii="仿宋" w:hAnsi="仿宋" w:eastAsia="仿宋" w:cs="仿宋"/>
                <w:sz w:val="32"/>
                <w:szCs w:val="32"/>
                <w:lang w:val="en-US"/>
              </w:rPr>
              <w:t>路径</w:t>
            </w:r>
          </w:p>
        </w:tc>
        <w:tc>
          <w:tcPr>
            <w:tcW w:w="624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lang w:val="en-US"/>
              </w:rPr>
            </w:pPr>
            <w:r>
              <w:rPr>
                <w:rFonts w:hint="eastAsia" w:ascii="仿宋" w:hAnsi="仿宋" w:eastAsia="仿宋" w:cs="仿宋"/>
                <w:sz w:val="32"/>
                <w:szCs w:val="32"/>
                <w:lang w:val="en-US"/>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jc w:val="center"/>
        </w:trPr>
        <w:tc>
          <w:tcPr>
            <w:tcW w:w="214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w:t>
            </w:r>
          </w:p>
        </w:tc>
        <w:tc>
          <w:tcPr>
            <w:tcW w:w="624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商务大数据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3" w:hRule="atLeast"/>
          <w:jc w:val="center"/>
        </w:trPr>
        <w:tc>
          <w:tcPr>
            <w:tcW w:w="214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模块</w:t>
            </w:r>
          </w:p>
        </w:tc>
        <w:tc>
          <w:tcPr>
            <w:tcW w:w="624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运营分析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jc w:val="center"/>
        </w:trPr>
        <w:tc>
          <w:tcPr>
            <w:tcW w:w="212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分组</w:t>
            </w:r>
          </w:p>
        </w:tc>
        <w:tc>
          <w:tcPr>
            <w:tcW w:w="626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双十一销售动态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jc w:val="center"/>
        </w:trPr>
        <w:tc>
          <w:tcPr>
            <w:tcW w:w="2125" w:type="dxa"/>
            <w:vMerge w:val="restart"/>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数据集</w:t>
            </w:r>
          </w:p>
        </w:tc>
        <w:tc>
          <w:tcPr>
            <w:tcW w:w="626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双十一销售实时数据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jc w:val="center"/>
        </w:trPr>
        <w:tc>
          <w:tcPr>
            <w:tcW w:w="2125" w:type="dxa"/>
            <w:vMerge w:val="continue"/>
            <w:tcBorders>
              <w:top w:val="nil"/>
            </w:tcBorders>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c>
          <w:tcPr>
            <w:tcW w:w="626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双十一分时段销售数据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3" w:hRule="atLeast"/>
          <w:jc w:val="center"/>
        </w:trPr>
        <w:tc>
          <w:tcPr>
            <w:tcW w:w="2125" w:type="dxa"/>
            <w:vMerge w:val="continue"/>
            <w:tcBorders>
              <w:top w:val="nil"/>
            </w:tcBorders>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c>
          <w:tcPr>
            <w:tcW w:w="6261" w:type="dxa"/>
            <w:gridSpan w:val="2"/>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双十一各品牌销售占比</w:t>
            </w:r>
          </w:p>
        </w:tc>
      </w:tr>
    </w:tbl>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如考生考号为KS011，则上述路径实际命名如下：</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在“商务智能—仪表盘”模块选择“数据集定义”，完成下列路径要求的建立。</w:t>
      </w:r>
    </w:p>
    <w:p>
      <w:pPr>
        <w:pStyle w:val="2"/>
        <w:keepNext w:val="0"/>
        <w:keepLines w:val="0"/>
        <w:pageBreakBefore w:val="0"/>
        <w:kinsoku/>
        <w:wordWrap/>
        <w:overflowPunct/>
        <w:topLinePunct w:val="0"/>
        <w:bidi w:val="0"/>
        <w:spacing w:line="580" w:lineRule="exact"/>
        <w:ind w:left="0" w:firstLine="220"/>
        <w:textAlignment w:val="auto"/>
        <w:outlineLvl w:val="9"/>
        <w:rPr>
          <w:lang w:val="en-US"/>
        </w:rPr>
      </w:pPr>
    </w:p>
    <w:tbl>
      <w:tblPr>
        <w:tblStyle w:val="7"/>
        <w:tblW w:w="841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2"/>
        <w:gridCol w:w="2835"/>
        <w:gridCol w:w="38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6" w:hRule="atLeast"/>
          <w:jc w:val="center"/>
        </w:trPr>
        <w:tc>
          <w:tcPr>
            <w:tcW w:w="175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lang w:val="en-US"/>
              </w:rPr>
            </w:pPr>
            <w:bookmarkStart w:id="8" w:name="2、无需操作步骤不体现原则"/>
            <w:bookmarkEnd w:id="8"/>
            <w:r>
              <w:rPr>
                <w:rFonts w:hint="eastAsia" w:ascii="仿宋" w:hAnsi="仿宋" w:eastAsia="仿宋" w:cs="仿宋"/>
                <w:sz w:val="32"/>
                <w:szCs w:val="32"/>
                <w:lang w:val="en-US"/>
              </w:rPr>
              <w:t>路径</w:t>
            </w: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lang w:val="en-US"/>
              </w:rPr>
            </w:pPr>
            <w:r>
              <w:rPr>
                <w:rFonts w:hint="eastAsia" w:ascii="仿宋" w:hAnsi="仿宋" w:eastAsia="仿宋" w:cs="仿宋"/>
                <w:sz w:val="32"/>
                <w:szCs w:val="32"/>
                <w:lang w:val="en-US"/>
              </w:rPr>
              <w:t>编号</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lang w:val="en-US"/>
              </w:rPr>
            </w:pPr>
            <w:r>
              <w:rPr>
                <w:rFonts w:hint="eastAsia" w:ascii="仿宋" w:hAnsi="仿宋" w:eastAsia="仿宋" w:cs="仿宋"/>
                <w:sz w:val="32"/>
                <w:szCs w:val="32"/>
                <w:lang w:val="en-US"/>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6" w:hRule="atLeast"/>
          <w:jc w:val="center"/>
        </w:trPr>
        <w:tc>
          <w:tcPr>
            <w:tcW w:w="175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系统</w:t>
            </w: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KS011BBD</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商务大数据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jc w:val="center"/>
        </w:trPr>
        <w:tc>
          <w:tcPr>
            <w:tcW w:w="175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模块</w:t>
            </w: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KS011YYFX</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运营分析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jc w:val="center"/>
        </w:trPr>
        <w:tc>
          <w:tcPr>
            <w:tcW w:w="175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分组</w:t>
            </w: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KS011SSYXSDT</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双十一销售动态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6" w:hRule="atLeast"/>
          <w:jc w:val="center"/>
        </w:trPr>
        <w:tc>
          <w:tcPr>
            <w:tcW w:w="1752" w:type="dxa"/>
            <w:vMerge w:val="restart"/>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数据集</w:t>
            </w: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KS011SSYXSSSSJ</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双十一销售实时数据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7" w:hRule="atLeast"/>
          <w:jc w:val="center"/>
        </w:trPr>
        <w:tc>
          <w:tcPr>
            <w:tcW w:w="1752" w:type="dxa"/>
            <w:vMerge w:val="continue"/>
            <w:tcBorders>
              <w:top w:val="nil"/>
            </w:tcBorders>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KS011SSYFSDXSSJ</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双十一分时段销售数据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6" w:hRule="atLeast"/>
          <w:jc w:val="center"/>
        </w:trPr>
        <w:tc>
          <w:tcPr>
            <w:tcW w:w="1752" w:type="dxa"/>
            <w:vMerge w:val="continue"/>
            <w:tcBorders>
              <w:top w:val="nil"/>
            </w:tcBorders>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c>
          <w:tcPr>
            <w:tcW w:w="283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KS011SSYGPPXSZB</w:t>
            </w:r>
          </w:p>
        </w:tc>
        <w:tc>
          <w:tcPr>
            <w:tcW w:w="3828"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KS011 双十一各品牌销售占比</w:t>
            </w:r>
          </w:p>
        </w:tc>
      </w:tr>
    </w:tbl>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（2）无需操作步骤不体现原则</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由于DMP 及BA 工具可操作模块较多，在命题过程中，无需进行操作的步骤不进行描述，考生仅需针对题目所列项进行操作，未列项目保持原始状态，无需另行操作，多余操作不得分，且影响后续题目得分。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9" w:name="3、组件要求使用方式"/>
      <w:bookmarkEnd w:id="9"/>
      <w:r>
        <w:rPr>
          <w:rFonts w:hint="eastAsia" w:ascii="仿宋" w:hAnsi="仿宋" w:eastAsia="仿宋" w:cs="仿宋"/>
          <w:kern w:val="2"/>
          <w:sz w:val="32"/>
          <w:szCs w:val="32"/>
        </w:rPr>
        <w:t>（3）组件要求使用方式</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连接组件：默认使用左连接，其余连接方式不得分。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排序组件：默认使用升序，大小写不敏感，排序字段为各数据表中的公共字段，其他排序方式不得分。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分组组件：聚合别名默认为字段名首字母缩写（使用大写字母），其他命名方式不得分。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需要进行数据过滤时，使用“表输入组件”里的“过滤条件”进行过滤，使用其他方式不得分。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如试题出现新组件，将在竞竞赛题“公共规则”部分中给出使用规范，需按使用规范操作，其他操作不得分。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0" w:name="4、路径建立"/>
      <w:bookmarkEnd w:id="10"/>
      <w:r>
        <w:rPr>
          <w:rFonts w:hint="eastAsia" w:ascii="仿宋" w:hAnsi="仿宋" w:eastAsia="仿宋" w:cs="仿宋"/>
          <w:kern w:val="2"/>
          <w:sz w:val="32"/>
          <w:szCs w:val="32"/>
        </w:rPr>
        <w:t>（4）路径建立</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在DMP 工具中建立路径时，维表均归属于主题中，不得在主题域中新建维表，在主题域中新建维表不得分，且影响后续题目得分。使用DMP 和BA 工具进行路径建设时，考生请注意路径的层级，在同一层级下建立不同子层级时，上级层级仅为方便考生查找路径使用，请勿重复建立。重复建立不得分，且影响后续题目得分。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1" w:name="5、删除数据表"/>
      <w:bookmarkEnd w:id="11"/>
      <w:r>
        <w:rPr>
          <w:rFonts w:hint="eastAsia" w:ascii="仿宋" w:hAnsi="仿宋" w:eastAsia="仿宋" w:cs="仿宋"/>
          <w:kern w:val="2"/>
          <w:sz w:val="32"/>
          <w:szCs w:val="32"/>
        </w:rPr>
        <w:t>（5）删除数据表</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出现需要删除维表或数据模型的情况时，如果数据库无数据，系统会提示是否删除表对应的数据库，请选择删除；如果数据库已有数据，则无法顺利删除，必须重新建立，新建数据库时出现数据库名重复时，请在数据库名称后增加一位数字，此操作不影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2" w:name="6、ETL组件修改"/>
      <w:bookmarkEnd w:id="12"/>
      <w:r>
        <w:rPr>
          <w:rFonts w:hint="eastAsia" w:ascii="仿宋" w:hAnsi="仿宋" w:eastAsia="仿宋" w:cs="仿宋"/>
          <w:kern w:val="2"/>
          <w:sz w:val="32"/>
          <w:szCs w:val="32"/>
        </w:rPr>
        <w:t>（6）ETL 组件修改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ETL 转换组件需要修改时，需要将要修改的组件删除后，重新添加该组件，如果直接在组件上修改，可能出现修改无效的现象，影响考试系统评分。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3" w:name="7、ETL“运行”操作"/>
      <w:bookmarkEnd w:id="13"/>
      <w:r>
        <w:rPr>
          <w:rFonts w:hint="eastAsia" w:ascii="仿宋" w:hAnsi="仿宋" w:eastAsia="仿宋" w:cs="仿宋"/>
          <w:kern w:val="2"/>
          <w:sz w:val="32"/>
          <w:szCs w:val="32"/>
        </w:rPr>
        <w:t>（7）ETL“运行”操作</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本次考试注重考查数据建模方法，为提高效率，不对ETL 转换中的数据运行有效进行考核。所以取消了“运行”按钮，设置好ETL 转换组件后无需点击“运行”按钮。</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4" w:name="8、字段数据类型"/>
      <w:bookmarkEnd w:id="14"/>
      <w:r>
        <w:rPr>
          <w:rFonts w:hint="eastAsia" w:ascii="仿宋" w:hAnsi="仿宋" w:eastAsia="仿宋" w:cs="仿宋"/>
          <w:kern w:val="2"/>
          <w:sz w:val="32"/>
          <w:szCs w:val="32"/>
        </w:rPr>
        <w:t>（8）字段数据类型</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进行字段设置时，竞赛题会在“公共规则”中给出字段设置要求， 不按要求设置不得分。例题实例如下：</w:t>
      </w:r>
    </w:p>
    <w:p>
      <w:pPr>
        <w:pStyle w:val="2"/>
        <w:keepNext w:val="0"/>
        <w:keepLines w:val="0"/>
        <w:pageBreakBefore w:val="0"/>
        <w:kinsoku/>
        <w:wordWrap/>
        <w:overflowPunct/>
        <w:topLinePunct w:val="0"/>
        <w:bidi w:val="0"/>
        <w:spacing w:line="580" w:lineRule="exact"/>
        <w:ind w:left="0" w:firstLine="220"/>
        <w:textAlignment w:val="auto"/>
        <w:outlineLvl w:val="9"/>
      </w:pPr>
    </w:p>
    <w:tbl>
      <w:tblPr>
        <w:tblStyle w:val="7"/>
        <w:tblW w:w="8450" w:type="dxa"/>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2"/>
        <w:gridCol w:w="1843"/>
        <w:gridCol w:w="1843"/>
        <w:gridCol w:w="1417"/>
        <w:gridCol w:w="19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8" w:hRule="atLeast"/>
        </w:trPr>
        <w:tc>
          <w:tcPr>
            <w:tcW w:w="136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bookmarkStart w:id="15" w:name="二、评分细则"/>
            <w:bookmarkEnd w:id="15"/>
            <w:r>
              <w:rPr>
                <w:rFonts w:hint="eastAsia" w:ascii="仿宋" w:hAnsi="仿宋" w:eastAsia="仿宋" w:cs="仿宋"/>
                <w:sz w:val="32"/>
                <w:szCs w:val="32"/>
              </w:rPr>
              <w:t>字段名</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别名</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数据类型</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长度</w:t>
            </w:r>
          </w:p>
        </w:tc>
        <w:tc>
          <w:tcPr>
            <w:tcW w:w="198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精度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7" w:hRule="atLeast"/>
        </w:trPr>
        <w:tc>
          <w:tcPr>
            <w:tcW w:w="136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XH</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序号</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字符型</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6</w:t>
            </w:r>
          </w:p>
        </w:tc>
        <w:tc>
          <w:tcPr>
            <w:tcW w:w="198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7" w:hRule="atLeast"/>
        </w:trPr>
        <w:tc>
          <w:tcPr>
            <w:tcW w:w="136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SPBM</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商品编码</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字符型</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w:t>
            </w:r>
          </w:p>
        </w:tc>
        <w:tc>
          <w:tcPr>
            <w:tcW w:w="198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7" w:hRule="atLeast"/>
        </w:trPr>
        <w:tc>
          <w:tcPr>
            <w:tcW w:w="1362"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w:t>
            </w:r>
          </w:p>
        </w:tc>
        <w:tc>
          <w:tcPr>
            <w:tcW w:w="1843"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w:t>
            </w:r>
          </w:p>
        </w:tc>
        <w:tc>
          <w:tcPr>
            <w:tcW w:w="1417"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w:t>
            </w:r>
          </w:p>
        </w:tc>
        <w:tc>
          <w:tcPr>
            <w:tcW w:w="1985" w:type="dxa"/>
            <w:vAlign w:val="center"/>
          </w:tcPr>
          <w:p>
            <w:pPr>
              <w:pStyle w:val="8"/>
              <w:keepNext w:val="0"/>
              <w:keepLines w:val="0"/>
              <w:pageBreakBefore w:val="0"/>
              <w:widowControl w:val="0"/>
              <w:kinsoku/>
              <w:wordWrap/>
              <w:overflowPunct/>
              <w:topLinePunct w:val="0"/>
              <w:autoSpaceDE w:val="0"/>
              <w:autoSpaceDN w:val="0"/>
              <w:bidi w:val="0"/>
              <w:adjustRightInd/>
              <w:snapToGrid/>
              <w:spacing w:after="0" w:line="580" w:lineRule="exact"/>
              <w:ind w:left="0"/>
              <w:jc w:val="center"/>
              <w:textAlignment w:val="auto"/>
              <w:outlineLvl w:val="9"/>
              <w:rPr>
                <w:rFonts w:ascii="仿宋" w:hAnsi="仿宋" w:eastAsia="仿宋" w:cs="仿宋"/>
                <w:sz w:val="32"/>
                <w:szCs w:val="32"/>
              </w:rPr>
            </w:pPr>
          </w:p>
        </w:tc>
      </w:tr>
    </w:tbl>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评分要点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6" w:name="1、创建表评分点"/>
      <w:bookmarkEnd w:id="16"/>
      <w:r>
        <w:rPr>
          <w:rFonts w:hint="eastAsia" w:ascii="仿宋" w:hAnsi="仿宋" w:eastAsia="仿宋" w:cs="仿宋"/>
          <w:kern w:val="2"/>
          <w:sz w:val="32"/>
          <w:szCs w:val="32"/>
        </w:rPr>
        <w:t>（1）创建表评分点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路径的简称、代号、数据源连接符合题目要求；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维表的简称、代号、数据库表名称符合题目要求；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创建表的字段数量、顺序、字段名、每个字段的属性设置符合题目要求，注意只有该字段的所有属性设置均正确该字段才得分。</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7" w:name="2、数据转换评分点"/>
      <w:bookmarkEnd w:id="17"/>
      <w:r>
        <w:rPr>
          <w:rFonts w:hint="eastAsia" w:ascii="仿宋" w:hAnsi="仿宋" w:eastAsia="仿宋" w:cs="仿宋"/>
          <w:kern w:val="2"/>
          <w:sz w:val="32"/>
          <w:szCs w:val="32"/>
        </w:rPr>
        <w:t>（2）数据转换评分点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路径正确；</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ETL 转换的标题、代号符合题目要求；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ETL 转换的组件名称、数量、数据源连接、选择表等符合题目要求。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8" w:name="3、数据集定义评分点"/>
      <w:bookmarkEnd w:id="18"/>
      <w:r>
        <w:rPr>
          <w:rFonts w:hint="eastAsia" w:ascii="仿宋" w:hAnsi="仿宋" w:eastAsia="仿宋" w:cs="仿宋"/>
          <w:kern w:val="2"/>
          <w:sz w:val="32"/>
          <w:szCs w:val="32"/>
        </w:rPr>
        <w:t>（3）数据集定义评分点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路径的编号、名称符合题目要求；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数据集来源及语句要求符合题目要求；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数据集预览字段名、字段说明、字段序号符合题目要求。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19" w:name="4、部件定义评分点"/>
      <w:bookmarkEnd w:id="19"/>
      <w:r>
        <w:rPr>
          <w:rFonts w:hint="eastAsia" w:ascii="仿宋" w:hAnsi="仿宋" w:eastAsia="仿宋" w:cs="仿宋"/>
          <w:kern w:val="2"/>
          <w:sz w:val="32"/>
          <w:szCs w:val="32"/>
        </w:rPr>
        <w:t>（4）部件定义评分点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路径的编号、名称、数据集符合题目要求；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部件配置符合题目要求。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20" w:name="5、分析看板评分点"/>
      <w:bookmarkEnd w:id="20"/>
      <w:r>
        <w:rPr>
          <w:rFonts w:hint="eastAsia" w:ascii="仿宋" w:hAnsi="仿宋" w:eastAsia="仿宋" w:cs="仿宋"/>
          <w:kern w:val="2"/>
          <w:sz w:val="32"/>
          <w:szCs w:val="32"/>
        </w:rPr>
        <w:t>（5）分析看板评分点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路径的编号、名称符合题目要求；</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部件配置符合题目要求。</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楷体" w:hAnsi="楷体" w:eastAsia="楷体" w:cs="仿宋"/>
          <w:kern w:val="2"/>
          <w:sz w:val="32"/>
          <w:szCs w:val="32"/>
        </w:rPr>
      </w:pPr>
      <w:r>
        <w:rPr>
          <w:rFonts w:hint="eastAsia" w:ascii="楷体" w:hAnsi="楷体" w:eastAsia="楷体" w:cs="仿宋"/>
          <w:kern w:val="2"/>
          <w:sz w:val="32"/>
          <w:szCs w:val="32"/>
        </w:rPr>
        <w:t>（二）区块链技术应用就业项目（项目赛道）</w:t>
      </w:r>
    </w:p>
    <w:tbl>
      <w:tblPr>
        <w:tblStyle w:val="7"/>
        <w:tblW w:w="7958" w:type="dxa"/>
        <w:jc w:val="center"/>
        <w:tblInd w:w="0" w:type="dxa"/>
        <w:tblLayout w:type="fixed"/>
        <w:tblCellMar>
          <w:top w:w="0" w:type="dxa"/>
          <w:left w:w="0" w:type="dxa"/>
          <w:bottom w:w="0" w:type="dxa"/>
          <w:right w:w="0" w:type="dxa"/>
        </w:tblCellMar>
      </w:tblPr>
      <w:tblGrid>
        <w:gridCol w:w="1386"/>
        <w:gridCol w:w="4319"/>
        <w:gridCol w:w="580"/>
        <w:gridCol w:w="545"/>
        <w:gridCol w:w="1128"/>
      </w:tblGrid>
      <w:tr>
        <w:tblPrEx>
          <w:tblLayout w:type="fixed"/>
          <w:tblCellMar>
            <w:top w:w="0" w:type="dxa"/>
            <w:left w:w="0" w:type="dxa"/>
            <w:bottom w:w="0" w:type="dxa"/>
            <w:right w:w="0" w:type="dxa"/>
          </w:tblCellMar>
        </w:tblPrEx>
        <w:trPr>
          <w:trHeight w:val="409" w:hRule="atLeast"/>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评审要点</w:t>
            </w:r>
          </w:p>
        </w:tc>
        <w:tc>
          <w:tcPr>
            <w:tcW w:w="4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评审内容</w:t>
            </w:r>
          </w:p>
        </w:tc>
        <w:tc>
          <w:tcPr>
            <w:tcW w:w="5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总分</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分值</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评分方式</w:t>
            </w:r>
          </w:p>
        </w:tc>
      </w:tr>
      <w:tr>
        <w:tblPrEx>
          <w:tblLayout w:type="fixed"/>
          <w:tblCellMar>
            <w:top w:w="0" w:type="dxa"/>
            <w:left w:w="0" w:type="dxa"/>
            <w:bottom w:w="0" w:type="dxa"/>
            <w:right w:w="0" w:type="dxa"/>
          </w:tblCellMar>
        </w:tblPrEx>
        <w:trPr>
          <w:trHeight w:val="1270" w:hRule="atLeast"/>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创新性</w:t>
            </w:r>
          </w:p>
        </w:tc>
        <w:tc>
          <w:tcPr>
            <w:tcW w:w="4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1.鼓励技术或服务创新、引入或运用新技术，鼓励高校科研成果转化。</w:t>
            </w:r>
            <w:r>
              <w:rPr>
                <w:rFonts w:hint="eastAsia" w:ascii="仿宋" w:hAnsi="仿宋" w:eastAsia="仿宋" w:cs="仿宋"/>
                <w:sz w:val="32"/>
                <w:szCs w:val="32"/>
              </w:rPr>
              <w:br w:type="textWrapping"/>
            </w:r>
            <w:r>
              <w:rPr>
                <w:rFonts w:hint="eastAsia" w:ascii="仿宋" w:hAnsi="仿宋" w:eastAsia="仿宋" w:cs="仿宋"/>
                <w:sz w:val="32"/>
                <w:szCs w:val="32"/>
              </w:rPr>
              <w:t>2.鼓励组织模式创新或进行资源整合。</w:t>
            </w:r>
            <w:r>
              <w:rPr>
                <w:rFonts w:hint="eastAsia" w:ascii="仿宋" w:hAnsi="仿宋" w:eastAsia="仿宋" w:cs="仿宋"/>
                <w:sz w:val="32"/>
                <w:szCs w:val="32"/>
              </w:rPr>
              <w:br w:type="textWrapping"/>
            </w:r>
            <w:r>
              <w:rPr>
                <w:rFonts w:hint="eastAsia" w:ascii="仿宋" w:hAnsi="仿宋" w:eastAsia="仿宋" w:cs="仿宋"/>
                <w:sz w:val="32"/>
                <w:szCs w:val="32"/>
              </w:rPr>
              <w:t>3.项目模式可复制、可推广、具有示范效应等。</w:t>
            </w:r>
          </w:p>
        </w:tc>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100</w:t>
            </w: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25</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现场评分</w:t>
            </w:r>
          </w:p>
        </w:tc>
      </w:tr>
      <w:tr>
        <w:tblPrEx>
          <w:tblLayout w:type="fixed"/>
          <w:tblCellMar>
            <w:top w:w="0" w:type="dxa"/>
            <w:left w:w="0" w:type="dxa"/>
            <w:bottom w:w="0" w:type="dxa"/>
            <w:right w:w="0" w:type="dxa"/>
          </w:tblCellMar>
        </w:tblPrEx>
        <w:trPr>
          <w:trHeight w:val="1048" w:hRule="atLeast"/>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可持续性</w:t>
            </w:r>
          </w:p>
        </w:tc>
        <w:tc>
          <w:tcPr>
            <w:tcW w:w="4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1.项目的持续生存能力。</w:t>
            </w:r>
            <w:r>
              <w:rPr>
                <w:rFonts w:hint="eastAsia" w:ascii="仿宋" w:hAnsi="仿宋" w:eastAsia="仿宋" w:cs="仿宋"/>
                <w:sz w:val="32"/>
                <w:szCs w:val="32"/>
              </w:rPr>
              <w:br w:type="textWrapping"/>
            </w:r>
            <w:r>
              <w:rPr>
                <w:rFonts w:hint="eastAsia" w:ascii="仿宋" w:hAnsi="仿宋" w:eastAsia="仿宋" w:cs="仿宋"/>
                <w:sz w:val="32"/>
                <w:szCs w:val="32"/>
              </w:rPr>
              <w:t>2.创新研发、资源整合等持续运营能力。</w:t>
            </w:r>
            <w:r>
              <w:rPr>
                <w:rFonts w:hint="eastAsia" w:ascii="仿宋" w:hAnsi="仿宋" w:eastAsia="仿宋" w:cs="仿宋"/>
                <w:sz w:val="32"/>
                <w:szCs w:val="32"/>
              </w:rPr>
              <w:br w:type="textWrapping"/>
            </w:r>
            <w:r>
              <w:rPr>
                <w:rFonts w:hint="eastAsia" w:ascii="仿宋" w:hAnsi="仿宋" w:eastAsia="仿宋" w:cs="仿宋"/>
                <w:sz w:val="32"/>
                <w:szCs w:val="32"/>
              </w:rPr>
              <w:t>3.项目模式可复制、可推广、具有示范效应等。</w:t>
            </w: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25</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现场评分</w:t>
            </w:r>
          </w:p>
        </w:tc>
      </w:tr>
      <w:tr>
        <w:tblPrEx>
          <w:tblLayout w:type="fixed"/>
          <w:tblCellMar>
            <w:top w:w="0" w:type="dxa"/>
            <w:left w:w="0" w:type="dxa"/>
            <w:bottom w:w="0" w:type="dxa"/>
            <w:right w:w="0" w:type="dxa"/>
          </w:tblCellMar>
        </w:tblPrEx>
        <w:trPr>
          <w:trHeight w:val="1713" w:hRule="atLeast"/>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引领教育</w:t>
            </w:r>
          </w:p>
        </w:tc>
        <w:tc>
          <w:tcPr>
            <w:tcW w:w="4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1.项目充分体现专业教育与创新创业教育的结合，体现团队成员所学专业知识和技能在项目和相关创新创业活动中的转化与应用。</w:t>
            </w:r>
            <w:r>
              <w:rPr>
                <w:rFonts w:hint="eastAsia" w:ascii="仿宋" w:hAnsi="仿宋" w:eastAsia="仿宋" w:cs="仿宋"/>
                <w:sz w:val="32"/>
                <w:szCs w:val="32"/>
              </w:rPr>
              <w:br w:type="textWrapping"/>
            </w:r>
            <w:r>
              <w:rPr>
                <w:rFonts w:hint="eastAsia" w:ascii="仿宋" w:hAnsi="仿宋" w:eastAsia="仿宋" w:cs="仿宋"/>
                <w:sz w:val="32"/>
                <w:szCs w:val="32"/>
              </w:rPr>
              <w:t>2.突出大赛的育人本质，充分体现项目成长对团队成员创新精神、创业意识和创新创业能力的锻炼和提升作用。</w:t>
            </w: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30</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现场评分</w:t>
            </w:r>
          </w:p>
        </w:tc>
      </w:tr>
      <w:tr>
        <w:tblPrEx>
          <w:tblLayout w:type="fixed"/>
          <w:tblCellMar>
            <w:top w:w="0" w:type="dxa"/>
            <w:left w:w="0" w:type="dxa"/>
            <w:bottom w:w="0" w:type="dxa"/>
            <w:right w:w="0" w:type="dxa"/>
          </w:tblCellMar>
        </w:tblPrEx>
        <w:trPr>
          <w:trHeight w:val="1317" w:hRule="atLeast"/>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项目团队</w:t>
            </w:r>
          </w:p>
        </w:tc>
        <w:tc>
          <w:tcPr>
            <w:tcW w:w="4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1.团队成员的基本素质、业务能力、奉献意愿和价值观与项目需求相匹配。</w:t>
            </w:r>
            <w:r>
              <w:rPr>
                <w:rFonts w:hint="eastAsia" w:ascii="仿宋" w:hAnsi="仿宋" w:eastAsia="仿宋" w:cs="仿宋"/>
                <w:sz w:val="32"/>
                <w:szCs w:val="32"/>
              </w:rPr>
              <w:br w:type="textWrapping"/>
            </w:r>
            <w:r>
              <w:rPr>
                <w:rFonts w:hint="eastAsia" w:ascii="仿宋" w:hAnsi="仿宋" w:eastAsia="仿宋" w:cs="仿宋"/>
                <w:sz w:val="32"/>
                <w:szCs w:val="32"/>
              </w:rPr>
              <w:t>2.团队的组织架构与分工协作合理。</w:t>
            </w:r>
            <w:r>
              <w:rPr>
                <w:rFonts w:hint="eastAsia" w:ascii="仿宋" w:hAnsi="仿宋" w:eastAsia="仿宋" w:cs="仿宋"/>
                <w:sz w:val="32"/>
                <w:szCs w:val="32"/>
              </w:rPr>
              <w:br w:type="textWrapping"/>
            </w:r>
            <w:r>
              <w:rPr>
                <w:rFonts w:hint="eastAsia" w:ascii="仿宋" w:hAnsi="仿宋" w:eastAsia="仿宋" w:cs="仿宋"/>
                <w:sz w:val="32"/>
                <w:szCs w:val="32"/>
              </w:rPr>
              <w:t>3.团队权益结构或公司股权结构合理。</w:t>
            </w:r>
            <w:r>
              <w:rPr>
                <w:rFonts w:hint="eastAsia" w:ascii="仿宋" w:hAnsi="仿宋" w:eastAsia="仿宋" w:cs="仿宋"/>
                <w:sz w:val="32"/>
                <w:szCs w:val="32"/>
              </w:rPr>
              <w:br w:type="textWrapping"/>
            </w:r>
            <w:r>
              <w:rPr>
                <w:rFonts w:hint="eastAsia" w:ascii="仿宋" w:hAnsi="仿宋" w:eastAsia="仿宋" w:cs="仿宋"/>
                <w:sz w:val="32"/>
                <w:szCs w:val="32"/>
              </w:rPr>
              <w:t>4.团队的延续性或接替性。</w:t>
            </w: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现场评分</w:t>
            </w:r>
          </w:p>
        </w:tc>
      </w:tr>
      <w:tr>
        <w:tblPrEx>
          <w:tblLayout w:type="fixed"/>
          <w:tblCellMar>
            <w:top w:w="0" w:type="dxa"/>
            <w:left w:w="0" w:type="dxa"/>
            <w:bottom w:w="0" w:type="dxa"/>
            <w:right w:w="0" w:type="dxa"/>
          </w:tblCellMar>
        </w:tblPrEx>
        <w:trPr>
          <w:trHeight w:val="1558" w:hRule="atLeast"/>
          <w:jc w:val="center"/>
        </w:trPr>
        <w:tc>
          <w:tcPr>
            <w:tcW w:w="13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现场答辩</w:t>
            </w:r>
          </w:p>
        </w:tc>
        <w:tc>
          <w:tcPr>
            <w:tcW w:w="43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textAlignment w:val="auto"/>
              <w:outlineLvl w:val="9"/>
              <w:rPr>
                <w:rFonts w:ascii="仿宋" w:hAnsi="仿宋" w:eastAsia="仿宋" w:cs="仿宋"/>
                <w:sz w:val="32"/>
                <w:szCs w:val="32"/>
              </w:rPr>
            </w:pPr>
            <w:r>
              <w:rPr>
                <w:rFonts w:hint="eastAsia" w:ascii="仿宋" w:hAnsi="仿宋" w:eastAsia="仿宋" w:cs="仿宋"/>
                <w:sz w:val="32"/>
                <w:szCs w:val="32"/>
              </w:rPr>
              <w:t>1.陈述课题时语言流畅，准确，严谨，重点突出，回答问题时吐词清晰，说服力强。</w:t>
            </w:r>
            <w:r>
              <w:rPr>
                <w:rFonts w:hint="eastAsia" w:ascii="仿宋" w:hAnsi="仿宋" w:eastAsia="仿宋" w:cs="仿宋"/>
                <w:sz w:val="32"/>
                <w:szCs w:val="32"/>
              </w:rPr>
              <w:br w:type="textWrapping"/>
            </w:r>
            <w:r>
              <w:rPr>
                <w:rFonts w:hint="eastAsia" w:ascii="仿宋" w:hAnsi="仿宋" w:eastAsia="仿宋" w:cs="仿宋"/>
                <w:sz w:val="32"/>
                <w:szCs w:val="32"/>
              </w:rPr>
              <w:t>2.PPT内容齐全，层次分明，重点突出，页面整洁，文字图标清晰。</w:t>
            </w:r>
            <w:r>
              <w:rPr>
                <w:rFonts w:hint="eastAsia" w:ascii="仿宋" w:hAnsi="仿宋" w:eastAsia="仿宋" w:cs="仿宋"/>
                <w:sz w:val="32"/>
                <w:szCs w:val="32"/>
              </w:rPr>
              <w:br w:type="textWrapping"/>
            </w:r>
            <w:r>
              <w:rPr>
                <w:rFonts w:hint="eastAsia" w:ascii="仿宋" w:hAnsi="仿宋" w:eastAsia="仿宋" w:cs="仿宋"/>
                <w:sz w:val="32"/>
                <w:szCs w:val="32"/>
              </w:rPr>
              <w:t>3.方案可行性，思路清晰，逻辑性强，有创新性、有独特的见解，有实际意义。</w:t>
            </w:r>
          </w:p>
        </w:tc>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bidi w:val="0"/>
              <w:spacing w:line="580" w:lineRule="exact"/>
              <w:ind w:left="0"/>
              <w:jc w:val="center"/>
              <w:textAlignment w:val="auto"/>
              <w:outlineLvl w:val="9"/>
              <w:rPr>
                <w:rFonts w:ascii="仿宋" w:hAnsi="仿宋" w:eastAsia="仿宋" w:cs="仿宋"/>
                <w:sz w:val="32"/>
                <w:szCs w:val="32"/>
              </w:rPr>
            </w:pPr>
            <w:r>
              <w:rPr>
                <w:rFonts w:hint="eastAsia" w:ascii="仿宋" w:hAnsi="仿宋" w:eastAsia="仿宋" w:cs="仿宋"/>
                <w:sz w:val="32"/>
                <w:szCs w:val="32"/>
              </w:rPr>
              <w:t>现场评分</w:t>
            </w:r>
          </w:p>
        </w:tc>
      </w:tr>
    </w:tbl>
    <w:p>
      <w:pPr>
        <w:keepNext w:val="0"/>
        <w:keepLines w:val="0"/>
        <w:pageBreakBefore w:val="0"/>
        <w:kinsoku/>
        <w:wordWrap/>
        <w:overflowPunct/>
        <w:topLinePunct w:val="0"/>
        <w:bidi w:val="0"/>
        <w:spacing w:line="580" w:lineRule="exact"/>
        <w:ind w:left="0" w:firstLine="640" w:firstLineChars="200"/>
        <w:textAlignment w:val="auto"/>
        <w:outlineLvl w:val="9"/>
        <w:rPr>
          <w:rFonts w:ascii="仿宋" w:hAnsi="仿宋" w:eastAsia="仿宋" w:cs="仿宋"/>
          <w:sz w:val="32"/>
          <w:szCs w:val="32"/>
        </w:rPr>
      </w:pPr>
      <w:r>
        <w:rPr>
          <w:rFonts w:hint="eastAsia" w:ascii="仿宋" w:hAnsi="仿宋" w:eastAsia="仿宋" w:cs="仿宋"/>
          <w:sz w:val="32"/>
          <w:szCs w:val="32"/>
        </w:rPr>
        <w:t>注∶项目评比中，凡抄袭他人成果证据确凿者，取消参赛资格。</w:t>
      </w:r>
    </w:p>
    <w:p>
      <w:pPr>
        <w:keepNext w:val="0"/>
        <w:keepLines w:val="0"/>
        <w:pageBreakBefore w:val="0"/>
        <w:widowControl w:val="0"/>
        <w:kinsoku/>
        <w:wordWrap/>
        <w:overflowPunct/>
        <w:topLinePunct w:val="0"/>
        <w:bidi w:val="0"/>
        <w:adjustRightInd/>
        <w:snapToGrid/>
        <w:spacing w:after="0" w:line="580" w:lineRule="exact"/>
        <w:ind w:left="0" w:firstLine="640" w:firstLineChars="200"/>
        <w:jc w:val="both"/>
        <w:textAlignment w:val="auto"/>
        <w:outlineLvl w:val="9"/>
        <w:rPr>
          <w:rFonts w:ascii="黑体" w:hAnsi="黑体" w:eastAsia="黑体" w:cs="黑体"/>
          <w:kern w:val="2"/>
          <w:sz w:val="32"/>
          <w:szCs w:val="32"/>
        </w:rPr>
      </w:pPr>
      <w:r>
        <w:rPr>
          <w:rFonts w:hint="eastAsia" w:ascii="黑体" w:hAnsi="黑体" w:eastAsia="黑体" w:cs="黑体"/>
          <w:kern w:val="2"/>
          <w:sz w:val="32"/>
          <w:szCs w:val="32"/>
        </w:rPr>
        <w:t>六、奖项设置</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两个赛项分别设置奖项。</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以参赛队总数为基数，分设一、二、三等奖，获奖比例分别为10%、20%、30%（四舍五入的形式保留小数点后两位）。</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r>
        <w:rPr>
          <w:rFonts w:hint="eastAsia" w:ascii="仿宋" w:hAnsi="仿宋" w:eastAsia="仿宋" w:cs="仿宋"/>
          <w:kern w:val="2"/>
          <w:sz w:val="32"/>
          <w:szCs w:val="32"/>
        </w:rPr>
        <w:t>本附件所涉及条款的最终解释权归甘肃省第二届高校区块链应用人才就业创业大赛组委会所有。</w:t>
      </w:r>
    </w:p>
    <w:p>
      <w:pPr>
        <w:keepNext w:val="0"/>
        <w:keepLines w:val="0"/>
        <w:pageBreakBefore w:val="0"/>
        <w:widowControl w:val="0"/>
        <w:kinsoku/>
        <w:wordWrap/>
        <w:overflowPunct/>
        <w:topLinePunct w:val="0"/>
        <w:autoSpaceDE w:val="0"/>
        <w:autoSpaceDN w:val="0"/>
        <w:bidi w:val="0"/>
        <w:adjustRightInd/>
        <w:snapToGrid/>
        <w:spacing w:after="0" w:line="580" w:lineRule="exact"/>
        <w:ind w:left="0" w:firstLine="640" w:firstLineChars="200"/>
        <w:textAlignment w:val="auto"/>
        <w:outlineLvl w:val="9"/>
        <w:rPr>
          <w:rFonts w:ascii="仿宋" w:hAnsi="仿宋" w:eastAsia="仿宋" w:cs="仿宋"/>
          <w:kern w:val="2"/>
          <w:sz w:val="32"/>
          <w:szCs w:val="32"/>
        </w:rPr>
      </w:pPr>
      <w:bookmarkStart w:id="21" w:name="_GoBack"/>
      <w:bookmarkEnd w:id="21"/>
    </w:p>
    <w:sectPr>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CF6A5E"/>
    <w:rsid w:val="00022E04"/>
    <w:rsid w:val="004D0220"/>
    <w:rsid w:val="004E2723"/>
    <w:rsid w:val="007944BF"/>
    <w:rsid w:val="0089322F"/>
    <w:rsid w:val="008C23DA"/>
    <w:rsid w:val="009460DD"/>
    <w:rsid w:val="00A00272"/>
    <w:rsid w:val="00B35D4A"/>
    <w:rsid w:val="00CA1227"/>
    <w:rsid w:val="00E50FAB"/>
    <w:rsid w:val="00F21FDB"/>
    <w:rsid w:val="08F8692C"/>
    <w:rsid w:val="0DA3751B"/>
    <w:rsid w:val="147E4F5C"/>
    <w:rsid w:val="18D07C10"/>
    <w:rsid w:val="1AE07F60"/>
    <w:rsid w:val="24ED3688"/>
    <w:rsid w:val="265818CC"/>
    <w:rsid w:val="3DE868AE"/>
    <w:rsid w:val="54A428DA"/>
    <w:rsid w:val="5647080A"/>
    <w:rsid w:val="57505950"/>
    <w:rsid w:val="5B0D4AEC"/>
    <w:rsid w:val="5EF91E30"/>
    <w:rsid w:val="61C56932"/>
    <w:rsid w:val="64CF6A5E"/>
    <w:rsid w:val="65CA20ED"/>
    <w:rsid w:val="67BF7980"/>
    <w:rsid w:val="6ABB69F1"/>
    <w:rsid w:val="6E3B0D6B"/>
    <w:rsid w:val="785B3F75"/>
    <w:rsid w:val="79077700"/>
    <w:rsid w:val="7AE065DD"/>
    <w:rsid w:val="7C2D5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w:basedOn w:val="3"/>
    <w:semiHidden/>
    <w:unhideWhenUsed/>
    <w:qFormat/>
    <w:uiPriority w:val="99"/>
    <w:pPr>
      <w:spacing w:after="120"/>
      <w:ind w:firstLine="420" w:firstLineChars="100"/>
    </w:pPr>
    <w:rPr>
      <w:sz w:val="22"/>
      <w:szCs w:val="22"/>
    </w:rPr>
  </w:style>
  <w:style w:type="paragraph" w:styleId="3">
    <w:name w:val="Body Text"/>
    <w:basedOn w:val="1"/>
    <w:qFormat/>
    <w:uiPriority w:val="1"/>
    <w:rPr>
      <w:rFonts w:ascii="仿宋" w:hAnsi="仿宋" w:eastAsia="仿宋" w:cs="仿宋"/>
      <w:sz w:val="30"/>
      <w:szCs w:val="30"/>
      <w:lang w:val="zh-CN" w:bidi="zh-CN"/>
    </w:rPr>
  </w:style>
  <w:style w:type="paragraph" w:styleId="4">
    <w:name w:val="footer"/>
    <w:basedOn w:val="1"/>
    <w:qFormat/>
    <w:uiPriority w:val="0"/>
    <w:pPr>
      <w:tabs>
        <w:tab w:val="center" w:pos="4153"/>
        <w:tab w:val="right" w:pos="8306"/>
      </w:tabs>
    </w:pPr>
    <w:rPr>
      <w:sz w:val="18"/>
      <w:szCs w:val="18"/>
    </w:rPr>
  </w:style>
  <w:style w:type="paragraph" w:styleId="5">
    <w:name w:val="header"/>
    <w:basedOn w:val="1"/>
    <w:link w:val="10"/>
    <w:qFormat/>
    <w:uiPriority w:val="0"/>
    <w:pPr>
      <w:pBdr>
        <w:bottom w:val="single" w:color="auto" w:sz="6" w:space="1"/>
      </w:pBdr>
      <w:tabs>
        <w:tab w:val="center" w:pos="4153"/>
        <w:tab w:val="right" w:pos="8306"/>
      </w:tabs>
      <w:jc w:val="center"/>
    </w:pPr>
    <w:rPr>
      <w:sz w:val="18"/>
      <w:szCs w:val="18"/>
    </w:rPr>
  </w:style>
  <w:style w:type="paragraph" w:customStyle="1" w:styleId="8">
    <w:name w:val="Table Paragraph"/>
    <w:basedOn w:val="1"/>
    <w:qFormat/>
    <w:uiPriority w:val="1"/>
    <w:rPr>
      <w:rFonts w:ascii="宋体" w:hAnsi="宋体" w:eastAsia="宋体" w:cs="宋体"/>
      <w:lang w:val="zh-CN" w:bidi="zh-CN"/>
    </w:rPr>
  </w:style>
  <w:style w:type="paragraph" w:styleId="9">
    <w:name w:val="List Paragraph"/>
    <w:basedOn w:val="1"/>
    <w:qFormat/>
    <w:uiPriority w:val="1"/>
    <w:pPr>
      <w:ind w:left="1126" w:hanging="207"/>
    </w:pPr>
    <w:rPr>
      <w:rFonts w:ascii="仿宋" w:hAnsi="仿宋" w:eastAsia="仿宋" w:cs="仿宋"/>
      <w:lang w:val="zh-CN" w:bidi="zh-CN"/>
    </w:rPr>
  </w:style>
  <w:style w:type="character" w:customStyle="1" w:styleId="10">
    <w:name w:val="页眉 Char"/>
    <w:basedOn w:val="6"/>
    <w:link w:val="5"/>
    <w:qFormat/>
    <w:uiPriority w:val="0"/>
    <w:rPr>
      <w:rFonts w:ascii="Tahoma" w:hAnsi="Tahoma" w:eastAsia="微软雅黑"/>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1009</Words>
  <Characters>5755</Characters>
  <Lines>47</Lines>
  <Paragraphs>13</Paragraphs>
  <TotalTime>14</TotalTime>
  <ScaleCrop>false</ScaleCrop>
  <LinksUpToDate>false</LinksUpToDate>
  <CharactersWithSpaces>6751</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2021-10-08T03:18:00Z</dcterms:created>
  <dc:creator>安小安</dc:creator>
  <cp:lastModifiedBy>null</cp:lastModifiedBy>
  <dcterms:modified xsi:type="dcterms:W3CDTF">2022-02-25T02:15:34Z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CDDDAD0AA71248AAA3F32CFAA57DD62B</vt:lpwstr>
  </property>
</Properties>
</file>